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highlight w:val="none"/>
          <w:lang w:eastAsia="zh-CN"/>
        </w:rPr>
      </w:pP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个人信贷业务贷中风控模型策略优化咨询项目</w:t>
      </w:r>
    </w:p>
    <w:p>
      <w:pPr>
        <w:spacing w:line="360" w:lineRule="auto"/>
        <w:jc w:val="center"/>
        <w:rPr>
          <w:rFonts w:hint="eastAsia" w:ascii="宋体" w:hAnsi="宋体"/>
          <w:b/>
          <w:sz w:val="32"/>
          <w:szCs w:val="32"/>
          <w:highlight w:val="none"/>
        </w:rPr>
      </w:pPr>
      <w:r>
        <w:rPr>
          <w:rFonts w:hint="eastAsia" w:ascii="宋体" w:hAnsi="宋体"/>
          <w:b/>
          <w:sz w:val="32"/>
          <w:szCs w:val="32"/>
          <w:highlight w:val="none"/>
        </w:rPr>
        <w:t>市场调研项目需求</w:t>
      </w:r>
    </w:p>
    <w:p>
      <w:pPr>
        <w:spacing w:line="360" w:lineRule="auto"/>
        <w:rPr>
          <w:rFonts w:ascii="宋体" w:hAnsi="宋体"/>
          <w:b/>
          <w:szCs w:val="21"/>
          <w:highlight w:val="none"/>
        </w:rPr>
      </w:pPr>
    </w:p>
    <w:p>
      <w:pPr>
        <w:spacing w:line="360" w:lineRule="auto"/>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hint="eastAsia" w:ascii="宋体" w:hAnsi="宋体" w:eastAsia="宋体" w:cs="仿宋_GB2312"/>
          <w:bCs/>
          <w:szCs w:val="21"/>
          <w:highlight w:val="none"/>
          <w:lang w:eastAsia="zh-CN"/>
        </w:rPr>
      </w:pPr>
      <w:r>
        <w:rPr>
          <w:rFonts w:ascii="宋体" w:hAnsi="宋体" w:eastAsia="宋体" w:cs="仿宋_GB2312"/>
          <w:bCs/>
          <w:szCs w:val="21"/>
          <w:highlight w:val="none"/>
        </w:rPr>
        <w:t>项目名称：</w:t>
      </w:r>
      <w:r>
        <w:rPr>
          <w:rFonts w:hint="eastAsia" w:ascii="宋体" w:hAnsi="宋体" w:eastAsia="宋体" w:cs="仿宋_GB2312"/>
          <w:bCs/>
          <w:szCs w:val="21"/>
          <w:highlight w:val="none"/>
        </w:rPr>
        <w:t>东莞农村商业银行</w:t>
      </w:r>
      <w:r>
        <w:rPr>
          <w:rFonts w:hint="eastAsia" w:ascii="宋体" w:hAnsi="宋体" w:eastAsia="宋体" w:cs="仿宋_GB2312"/>
          <w:bCs/>
          <w:szCs w:val="21"/>
          <w:highlight w:val="none"/>
          <w:lang w:val="en-US" w:eastAsia="zh-CN"/>
        </w:rPr>
        <w:t>个人信贷业务贷中风控</w:t>
      </w:r>
      <w:r>
        <w:rPr>
          <w:rFonts w:hint="eastAsia" w:ascii="宋体" w:hAnsi="宋体" w:cs="仿宋_GB2312"/>
          <w:bCs/>
          <w:szCs w:val="21"/>
          <w:highlight w:val="none"/>
          <w:lang w:val="en-US" w:eastAsia="zh-CN"/>
        </w:rPr>
        <w:t>模型策略优化</w:t>
      </w:r>
      <w:r>
        <w:rPr>
          <w:rFonts w:hint="eastAsia" w:ascii="宋体" w:hAnsi="宋体" w:eastAsia="宋体" w:cs="仿宋_GB2312"/>
          <w:bCs/>
          <w:szCs w:val="21"/>
          <w:highlight w:val="none"/>
          <w:lang w:val="en-US" w:eastAsia="zh-CN"/>
        </w:rPr>
        <w:t>咨询项目</w:t>
      </w:r>
    </w:p>
    <w:p>
      <w:pPr>
        <w:widowControl/>
        <w:spacing w:line="360" w:lineRule="auto"/>
        <w:ind w:firstLine="420" w:firstLineChars="200"/>
        <w:rPr>
          <w:rFonts w:ascii="宋体" w:hAnsi="宋体" w:eastAsia="宋体" w:cs="仿宋_GB2312"/>
          <w:bCs/>
          <w:szCs w:val="21"/>
          <w:highlight w:val="none"/>
        </w:rPr>
      </w:pPr>
      <w:r>
        <w:rPr>
          <w:rFonts w:hint="eastAsia" w:ascii="宋体" w:hAnsi="宋体" w:cs="仿宋_GB2312"/>
          <w:bCs/>
          <w:szCs w:val="21"/>
          <w:highlight w:val="none"/>
          <w:lang w:eastAsia="zh-CN"/>
        </w:rPr>
        <w:t>采购人</w:t>
      </w:r>
      <w:r>
        <w:rPr>
          <w:rFonts w:hint="eastAsia" w:ascii="宋体" w:hAnsi="宋体" w:eastAsia="宋体" w:cs="仿宋_GB2312"/>
          <w:bCs/>
          <w:szCs w:val="21"/>
          <w:highlight w:val="none"/>
        </w:rPr>
        <w:t>：东莞农村商业银行股份有限公司</w:t>
      </w:r>
    </w:p>
    <w:p>
      <w:pPr>
        <w:widowControl/>
        <w:spacing w:line="360" w:lineRule="auto"/>
        <w:ind w:firstLine="420" w:firstLineChars="200"/>
        <w:rPr>
          <w:rFonts w:ascii="宋体" w:hAnsi="宋体" w:eastAsia="宋体" w:cs="仿宋_GB2312"/>
          <w:bCs/>
          <w:szCs w:val="21"/>
          <w:highlight w:val="none"/>
        </w:rPr>
      </w:pPr>
      <w:r>
        <w:rPr>
          <w:rFonts w:ascii="宋体" w:hAnsi="宋体" w:eastAsia="宋体" w:cs="仿宋_GB2312"/>
          <w:bCs/>
          <w:szCs w:val="21"/>
          <w:highlight w:val="none"/>
        </w:rPr>
        <w:t>项目</w:t>
      </w:r>
      <w:r>
        <w:rPr>
          <w:rFonts w:hint="eastAsia" w:ascii="宋体" w:hAnsi="宋体" w:eastAsia="宋体" w:cs="仿宋_GB2312"/>
          <w:bCs/>
          <w:szCs w:val="21"/>
          <w:highlight w:val="none"/>
        </w:rPr>
        <w:t>概算</w:t>
      </w:r>
      <w:r>
        <w:rPr>
          <w:rFonts w:ascii="宋体" w:hAnsi="宋体" w:eastAsia="宋体" w:cs="仿宋_GB2312"/>
          <w:bCs/>
          <w:szCs w:val="21"/>
          <w:highlight w:val="none"/>
        </w:rPr>
        <w:t>：</w:t>
      </w:r>
      <w:r>
        <w:rPr>
          <w:rFonts w:hint="eastAsia" w:ascii="宋体" w:hAnsi="宋体" w:eastAsia="宋体" w:cs="仿宋_GB2312"/>
          <w:bCs/>
          <w:szCs w:val="21"/>
          <w:highlight w:val="none"/>
        </w:rPr>
        <w:t>待定。</w:t>
      </w:r>
    </w:p>
    <w:p>
      <w:pPr>
        <w:widowControl/>
        <w:spacing w:line="360" w:lineRule="auto"/>
        <w:ind w:firstLine="420" w:firstLineChars="200"/>
        <w:rPr>
          <w:rFonts w:ascii="宋体" w:hAnsi="宋体" w:eastAsia="宋体" w:cs="仿宋_GB2312"/>
          <w:bCs/>
          <w:szCs w:val="21"/>
          <w:highlight w:val="none"/>
        </w:rPr>
      </w:pPr>
      <w:r>
        <w:rPr>
          <w:rFonts w:hint="eastAsia" w:ascii="宋体" w:hAnsi="宋体" w:eastAsia="宋体" w:cs="仿宋_GB2312"/>
          <w:bCs/>
          <w:szCs w:val="21"/>
          <w:highlight w:val="none"/>
        </w:rPr>
        <w:t>项目预计采购时间：202</w:t>
      </w:r>
      <w:r>
        <w:rPr>
          <w:rFonts w:hint="eastAsia" w:ascii="宋体" w:hAnsi="宋体" w:cs="仿宋_GB2312"/>
          <w:bCs/>
          <w:szCs w:val="21"/>
          <w:highlight w:val="none"/>
          <w:lang w:val="en-US" w:eastAsia="zh-CN"/>
        </w:rPr>
        <w:t>5</w:t>
      </w:r>
      <w:r>
        <w:rPr>
          <w:rFonts w:hint="eastAsia" w:ascii="宋体" w:hAnsi="宋体" w:eastAsia="宋体" w:cs="仿宋_GB2312"/>
          <w:bCs/>
          <w:szCs w:val="21"/>
          <w:highlight w:val="none"/>
        </w:rPr>
        <w:t>年</w:t>
      </w:r>
      <w:r>
        <w:rPr>
          <w:rFonts w:hint="eastAsia" w:ascii="宋体" w:hAnsi="宋体" w:cs="仿宋_GB2312"/>
          <w:bCs/>
          <w:szCs w:val="21"/>
          <w:highlight w:val="none"/>
          <w:lang w:val="en-US" w:eastAsia="zh-CN"/>
        </w:rPr>
        <w:t>4</w:t>
      </w:r>
      <w:r>
        <w:rPr>
          <w:rFonts w:hint="eastAsia" w:ascii="宋体" w:hAnsi="宋体" w:eastAsia="宋体" w:cs="仿宋_GB2312"/>
          <w:bCs/>
          <w:szCs w:val="21"/>
          <w:highlight w:val="none"/>
        </w:rPr>
        <w:t>月</w:t>
      </w:r>
    </w:p>
    <w:p>
      <w:pPr>
        <w:widowControl/>
        <w:spacing w:line="360" w:lineRule="auto"/>
        <w:ind w:firstLine="420" w:firstLineChars="200"/>
        <w:rPr>
          <w:rFonts w:hint="eastAsia" w:ascii="宋体" w:hAnsi="宋体" w:eastAsia="宋体" w:cs="仿宋_GB2312"/>
          <w:bCs/>
          <w:szCs w:val="21"/>
          <w:highlight w:val="none"/>
          <w:lang w:val="en-US" w:eastAsia="zh-CN"/>
        </w:rPr>
      </w:pPr>
      <w:r>
        <w:rPr>
          <w:rFonts w:hint="eastAsia" w:ascii="宋体" w:hAnsi="宋体" w:eastAsia="宋体" w:cs="仿宋_GB2312"/>
          <w:bCs/>
          <w:szCs w:val="21"/>
          <w:highlight w:val="none"/>
        </w:rPr>
        <w:t>项目工期要求：项目总工期</w:t>
      </w:r>
      <w:r>
        <w:rPr>
          <w:rFonts w:hint="eastAsia" w:ascii="宋体" w:hAnsi="宋体" w:cs="仿宋_GB2312"/>
          <w:bCs/>
          <w:szCs w:val="21"/>
          <w:highlight w:val="none"/>
          <w:lang w:val="en-US" w:eastAsia="zh-CN"/>
        </w:rPr>
        <w:t>6</w:t>
      </w:r>
      <w:r>
        <w:rPr>
          <w:rFonts w:hint="eastAsia" w:ascii="宋体" w:hAnsi="宋体" w:eastAsia="宋体" w:cs="仿宋_GB2312"/>
          <w:bCs/>
          <w:szCs w:val="21"/>
          <w:highlight w:val="none"/>
        </w:rPr>
        <w:t>个月</w:t>
      </w:r>
      <w:r>
        <w:rPr>
          <w:rFonts w:hint="eastAsia" w:ascii="宋体" w:hAnsi="宋体" w:cs="仿宋_GB2312"/>
          <w:bCs/>
          <w:szCs w:val="21"/>
          <w:highlight w:val="none"/>
          <w:lang w:val="en-US" w:eastAsia="zh-CN"/>
        </w:rPr>
        <w:t>左右</w:t>
      </w:r>
    </w:p>
    <w:p>
      <w:pPr>
        <w:widowControl/>
        <w:spacing w:line="360" w:lineRule="auto"/>
        <w:ind w:firstLine="420" w:firstLineChars="200"/>
        <w:rPr>
          <w:rFonts w:ascii="宋体" w:hAnsi="宋体" w:eastAsia="宋体" w:cs="仿宋_GB2312"/>
          <w:bCs/>
          <w:szCs w:val="21"/>
          <w:highlight w:val="none"/>
        </w:rPr>
      </w:pPr>
      <w:r>
        <w:rPr>
          <w:rFonts w:hint="eastAsia" w:ascii="宋体" w:hAnsi="宋体" w:eastAsia="宋体" w:cs="仿宋_GB2312"/>
          <w:bCs/>
          <w:szCs w:val="21"/>
          <w:highlight w:val="none"/>
        </w:rPr>
        <w:t>注意：本次公告属于项目市场调研需求，上述项目概算、预计采购时间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东莞农商银行作为服务地方经济的主力金融机构，始终</w:t>
      </w:r>
      <w:r>
        <w:rPr>
          <w:rFonts w:hint="default" w:ascii="宋体" w:hAnsi="宋体" w:eastAsia="宋体" w:cs="宋体"/>
          <w:szCs w:val="21"/>
          <w:highlight w:val="none"/>
          <w:lang w:val="en-US" w:eastAsia="zh-CN"/>
        </w:rPr>
        <w:t>围绕“风险驱动+风险赋能”风险管理体系建设主线，</w:t>
      </w:r>
      <w:r>
        <w:rPr>
          <w:rFonts w:hint="eastAsia" w:ascii="宋体" w:hAnsi="宋体" w:eastAsia="宋体" w:cs="宋体"/>
          <w:szCs w:val="21"/>
          <w:highlight w:val="none"/>
          <w:lang w:val="en-US" w:eastAsia="zh-CN"/>
        </w:rPr>
        <w:t>推动业务高质量发展。近年来，随着数字化转型的深入进行，我行逐步加强智能风控体系建设，已完成个人信贷业务贷前风控策略与模型迭代优化。为进一步提升全流程风险管理能力，我行拟开展个人信贷业务贷中风控模型策略优化咨询项目，通过引入先进技术与管理经验，完善风险动态监控、预警及处置机制，降低贷中风险敞口，保障资产质量稳健运行。现欢迎愿意参加本项目市场调研的潜在供应商（本次项目需求的供应商指具备个人信贷业务贷中风控模型策略优化咨询能力的供应商），提供市场调研资料。</w:t>
      </w:r>
    </w:p>
    <w:p>
      <w:pPr>
        <w:spacing w:line="360" w:lineRule="auto"/>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调研内容</w:t>
      </w:r>
    </w:p>
    <w:p>
      <w:pPr>
        <w:spacing w:line="360" w:lineRule="auto"/>
        <w:ind w:firstLine="422" w:firstLineChars="200"/>
        <w:rPr>
          <w:rFonts w:ascii="宋体" w:hAnsi="宋体" w:eastAsia="宋体" w:cs="楷体_GB2312"/>
          <w:b/>
          <w:bCs/>
          <w:kern w:val="28"/>
          <w:szCs w:val="21"/>
          <w:highlight w:val="none"/>
        </w:rPr>
      </w:pPr>
      <w:r>
        <w:rPr>
          <w:rFonts w:hint="eastAsia" w:ascii="宋体" w:hAnsi="宋体" w:eastAsia="宋体" w:cs="楷体_GB2312"/>
          <w:b/>
          <w:bCs/>
          <w:kern w:val="28"/>
          <w:szCs w:val="21"/>
          <w:highlight w:val="none"/>
        </w:rPr>
        <w:t>（一）项目需求</w:t>
      </w:r>
    </w:p>
    <w:tbl>
      <w:tblPr>
        <w:tblStyle w:val="12"/>
        <w:tblW w:w="9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1278"/>
        <w:gridCol w:w="7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需求类别</w:t>
            </w:r>
          </w:p>
        </w:tc>
        <w:tc>
          <w:tcPr>
            <w:tcW w:w="7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需求内容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both"/>
              <w:rPr>
                <w:rFonts w:hint="eastAsia" w:ascii="宋体" w:hAnsi="宋体" w:eastAsia="宋体" w:cs="宋体"/>
                <w:szCs w:val="21"/>
                <w:highlight w:val="none"/>
                <w:lang w:val="en-US" w:eastAsia="zh-CN"/>
              </w:rPr>
            </w:pPr>
          </w:p>
          <w:p>
            <w:pPr>
              <w:spacing w:line="360" w:lineRule="auto"/>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现状分析</w:t>
            </w:r>
          </w:p>
          <w:p>
            <w:pPr>
              <w:spacing w:line="360" w:lineRule="auto"/>
              <w:ind w:firstLine="420" w:firstLineChars="200"/>
              <w:jc w:val="center"/>
              <w:rPr>
                <w:rFonts w:hint="default" w:ascii="宋体" w:hAnsi="宋体" w:eastAsia="宋体" w:cs="宋体"/>
                <w:szCs w:val="21"/>
                <w:highlight w:val="none"/>
                <w:lang w:val="en-US" w:eastAsia="zh-CN"/>
              </w:rPr>
            </w:pP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针对我行个人消费贷款、信用卡、个人经营性贷款等个人信贷业务和产品的特点以及不同客群的特性，梳理行内现有数据资源（客户行为数据、还款数据、外部征信数据等），分析内外部数据使用情况，提出数据质量提升方案。同时，评估我行现行贷中风控策略与模型的运行效果，识别策略与模型中的不足，完成差距分析并形成相关报告，为后续改进提供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个人信贷业务贷中风控策略建设</w:t>
            </w:r>
          </w:p>
          <w:p>
            <w:pPr>
              <w:spacing w:line="360" w:lineRule="auto"/>
              <w:ind w:firstLine="420" w:firstLineChars="200"/>
              <w:jc w:val="center"/>
              <w:rPr>
                <w:rFonts w:hint="default" w:ascii="宋体" w:hAnsi="宋体" w:eastAsia="宋体" w:cs="宋体"/>
                <w:szCs w:val="21"/>
                <w:highlight w:val="none"/>
                <w:lang w:val="en-US" w:eastAsia="zh-CN"/>
              </w:rPr>
            </w:pP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通过数据分析手段以及使用专家经验，针对我行个人消费贷、信用卡、个人经营性贷款等个人信贷业务，根据客户年龄、收入、信用记录、还款行为等多维度数据，评估不同客户群体的风险水平，进行客户分群，从而制定差异化的贷中风控策略，支持自动化决策。包括但不限于以下内容：</w:t>
            </w:r>
          </w:p>
          <w:p>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1、调额策略：通过分析客户的还款能力、信用状况、历史还款行为、资金需求等数据，建立额度动态调整策略，例如对于还款记录良好、信贷需求增加的客户，适当提高额度；对于出现逾期或风险信号的客户，降低额度。同时，设定额度调整的触发条件和审批流程，确保额度管理的科学性和合理性。</w:t>
            </w:r>
          </w:p>
          <w:p>
            <w:pPr>
              <w:numPr>
                <w:ilvl w:val="0"/>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续贷续卡策略：针对不同产品、业务与客群的特性，明确续贷续卡客户筛选标准，通过全面审查客户的信用记录，分析客户的行为数据，评估客户经营与财务状况等方面，设计差异化的续贷续卡策略，让客户成功续贷并且便捷续贷。</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用信策略：针对不同产品、业务与客群的特性，例如循环贷产品、非首次支用客户等，结合客户风险等级、贷中交易行为数据，以及行为评分B卡模型等内容对客户用信风险进行量化评估，从而设计差异化的用信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个人信贷业务贷中模型建设</w:t>
            </w: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rPr>
                <w:rFonts w:hint="eastAsia" w:ascii="宋体" w:hAnsi="宋体" w:eastAsia="宋体" w:cs="宋体"/>
                <w:szCs w:val="21"/>
                <w:highlight w:val="none"/>
                <w:lang w:val="en-US" w:eastAsia="zh-CN"/>
              </w:rPr>
            </w:pPr>
            <w:bookmarkStart w:id="0" w:name="_GoBack"/>
            <w:bookmarkEnd w:id="0"/>
            <w:r>
              <w:rPr>
                <w:rFonts w:hint="eastAsia" w:ascii="宋体" w:hAnsi="宋体" w:eastAsia="宋体" w:cs="宋体"/>
                <w:szCs w:val="21"/>
                <w:highlight w:val="none"/>
                <w:lang w:val="en-US" w:eastAsia="zh-CN"/>
              </w:rPr>
              <w:t>针对我行个人消费贷、信用卡、个人经营性贷款等个人信贷业务，分析业务特点和客群分类，建设</w:t>
            </w:r>
            <w:r>
              <w:rPr>
                <w:rFonts w:hint="eastAsia" w:ascii="宋体" w:hAnsi="宋体" w:cs="宋体"/>
                <w:szCs w:val="21"/>
                <w:highlight w:val="none"/>
                <w:lang w:val="en-US" w:eastAsia="zh-CN"/>
              </w:rPr>
              <w:t>贷中评分</w:t>
            </w:r>
            <w:r>
              <w:rPr>
                <w:rFonts w:hint="eastAsia" w:ascii="宋体" w:hAnsi="宋体" w:eastAsia="宋体" w:cs="宋体"/>
                <w:szCs w:val="21"/>
                <w:highlight w:val="none"/>
                <w:lang w:val="en-US" w:eastAsia="zh-CN"/>
              </w:rPr>
              <w:t>模型；同时梳理</w:t>
            </w:r>
            <w:r>
              <w:rPr>
                <w:rFonts w:hint="eastAsia" w:ascii="宋体" w:hAnsi="宋体" w:cs="宋体"/>
                <w:szCs w:val="21"/>
                <w:highlight w:val="none"/>
                <w:lang w:val="en-US" w:eastAsia="zh-CN"/>
              </w:rPr>
              <w:t>贷中评分模型</w:t>
            </w:r>
            <w:r>
              <w:rPr>
                <w:rFonts w:hint="eastAsia" w:ascii="宋体" w:hAnsi="宋体" w:eastAsia="宋体" w:cs="宋体"/>
                <w:szCs w:val="21"/>
                <w:highlight w:val="none"/>
                <w:lang w:val="en-US" w:eastAsia="zh-CN"/>
              </w:rPr>
              <w:t>常用的应用场景，例如针对循环贷的支用环节、信贷产品的贷中监控与预警、在贷前与贷后环节的应用建议、续卡续贷应用、调额调价应用、客户价值管理、市场营销等方面。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策略与模型实施监控体系设计</w:t>
            </w: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针对落地的策略与模型建立多维度贷中风险监控指标体系，动态监测策略与模型的执行效果，关注风险资产质量，并形成贷前贷中联动机制。</w:t>
            </w:r>
          </w:p>
        </w:tc>
      </w:tr>
    </w:tbl>
    <w:p>
      <w:pPr>
        <w:spacing w:line="360" w:lineRule="auto"/>
        <w:rPr>
          <w:rFonts w:ascii="宋体" w:hAnsi="宋体" w:cs="宋体"/>
          <w:b/>
          <w:bCs/>
          <w:szCs w:val="21"/>
          <w:highlight w:val="none"/>
        </w:rPr>
      </w:pPr>
      <w:r>
        <w:rPr>
          <w:rFonts w:hint="eastAsia" w:ascii="宋体" w:hAnsi="宋体"/>
          <w:b/>
          <w:bCs/>
          <w:szCs w:val="21"/>
          <w:highlight w:val="none"/>
        </w:rPr>
        <w:t>四、</w:t>
      </w:r>
      <w:r>
        <w:rPr>
          <w:rFonts w:hint="eastAsia" w:ascii="宋体" w:hAnsi="宋体" w:cs="宋体"/>
          <w:b/>
          <w:bCs/>
          <w:szCs w:val="21"/>
          <w:highlight w:val="none"/>
        </w:rPr>
        <w:t>项目总体服务要求</w:t>
      </w:r>
    </w:p>
    <w:p>
      <w:pPr>
        <w:spacing w:line="360" w:lineRule="auto"/>
        <w:ind w:firstLine="420" w:firstLineChars="200"/>
        <w:rPr>
          <w:rFonts w:hint="default" w:ascii="宋体" w:hAnsi="宋体" w:eastAsia="宋体" w:cs="楷体_GB2312"/>
          <w:b w:val="0"/>
          <w:bCs w:val="0"/>
          <w:kern w:val="28"/>
          <w:szCs w:val="21"/>
          <w:highlight w:val="none"/>
          <w:lang w:val="en-US" w:eastAsia="zh-CN"/>
        </w:rPr>
      </w:pPr>
      <w:r>
        <w:rPr>
          <w:rFonts w:hint="eastAsia" w:ascii="宋体" w:hAnsi="宋体" w:eastAsia="宋体" w:cs="楷体_GB2312"/>
          <w:b w:val="0"/>
          <w:bCs w:val="0"/>
          <w:kern w:val="28"/>
          <w:szCs w:val="21"/>
          <w:highlight w:val="none"/>
        </w:rPr>
        <w:t>（一）</w:t>
      </w:r>
      <w:r>
        <w:rPr>
          <w:rFonts w:hint="eastAsia" w:ascii="宋体" w:hAnsi="宋体" w:cs="楷体_GB2312"/>
          <w:b w:val="0"/>
          <w:bCs w:val="0"/>
          <w:kern w:val="28"/>
          <w:szCs w:val="21"/>
          <w:highlight w:val="none"/>
          <w:lang w:val="en-US" w:eastAsia="zh-CN"/>
        </w:rPr>
        <w:t>供应商根据项目需求为我行提供专业的咨询服务，并形成相关文档作为交付物，并对我行风控团队开展模型维护、策略调优等专项培训，完成知识转移。</w:t>
      </w:r>
    </w:p>
    <w:p>
      <w:pPr>
        <w:spacing w:line="360" w:lineRule="auto"/>
        <w:ind w:firstLine="420" w:firstLineChars="200"/>
        <w:rPr>
          <w:rFonts w:hint="default" w:ascii="宋体" w:hAnsi="宋体" w:eastAsia="宋体" w:cs="仿宋_GB2312"/>
          <w:b w:val="0"/>
          <w:bCs w:val="0"/>
          <w:szCs w:val="21"/>
          <w:highlight w:val="none"/>
          <w:lang w:val="en-US" w:eastAsia="zh-CN"/>
        </w:rPr>
      </w:pPr>
      <w:r>
        <w:rPr>
          <w:rFonts w:hint="eastAsia" w:ascii="宋体" w:hAnsi="宋体" w:eastAsia="宋体" w:cs="楷体_GB2312"/>
          <w:b w:val="0"/>
          <w:bCs w:val="0"/>
          <w:kern w:val="28"/>
          <w:szCs w:val="21"/>
          <w:highlight w:val="none"/>
        </w:rPr>
        <w:t>（二）</w:t>
      </w:r>
      <w:r>
        <w:rPr>
          <w:rFonts w:hint="eastAsia" w:ascii="宋体" w:hAnsi="宋体" w:cs="楷体_GB2312"/>
          <w:b w:val="0"/>
          <w:bCs w:val="0"/>
          <w:kern w:val="28"/>
          <w:szCs w:val="21"/>
          <w:highlight w:val="none"/>
          <w:lang w:val="en-US" w:eastAsia="zh-CN"/>
        </w:rPr>
        <w:t>供应商需要协助我行完成贷中风控策略与模型上线并运行正常，并提供至少1年的模型监控与策略优化技术支持服务。</w:t>
      </w:r>
    </w:p>
    <w:p>
      <w:pPr>
        <w:spacing w:line="360" w:lineRule="auto"/>
        <w:ind w:firstLine="420" w:firstLineChars="200"/>
        <w:rPr>
          <w:highlight w:val="none"/>
        </w:rPr>
      </w:pPr>
      <w:r>
        <w:rPr>
          <w:rFonts w:hint="eastAsia" w:ascii="宋体" w:hAnsi="宋体" w:eastAsia="宋体" w:cs="楷体_GB2312"/>
          <w:b w:val="0"/>
          <w:bCs w:val="0"/>
          <w:kern w:val="28"/>
          <w:szCs w:val="21"/>
          <w:highlight w:val="none"/>
        </w:rPr>
        <w:t>（三）</w:t>
      </w:r>
      <w:r>
        <w:rPr>
          <w:rFonts w:hint="eastAsia" w:ascii="宋体" w:hAnsi="宋体" w:eastAsia="宋体" w:cs="仿宋_GB2312"/>
          <w:b w:val="0"/>
          <w:bCs w:val="0"/>
          <w:szCs w:val="21"/>
          <w:highlight w:val="none"/>
        </w:rPr>
        <w:t>所有服务内容必须由原厂提供，供应商不得将本项目的全部或部分转包给第三方。</w:t>
      </w:r>
    </w:p>
    <w:p>
      <w:pPr>
        <w:spacing w:line="360" w:lineRule="auto"/>
        <w:rPr>
          <w:rFonts w:ascii="宋体" w:hAnsi="宋体"/>
          <w:b/>
          <w:bCs/>
          <w:szCs w:val="21"/>
          <w:highlight w:val="none"/>
        </w:rPr>
      </w:pPr>
      <w:r>
        <w:rPr>
          <w:rFonts w:hint="eastAsia" w:ascii="宋体" w:hAnsi="宋体"/>
          <w:b/>
          <w:bCs/>
          <w:szCs w:val="21"/>
          <w:highlight w:val="none"/>
        </w:rPr>
        <w:t>五、供应商（本项目指产品制造商）要求</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一</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w:t>
      </w:r>
      <w:r>
        <w:rPr>
          <w:rFonts w:hint="default" w:ascii="宋体" w:hAnsi="宋体" w:eastAsia="宋体" w:cs="仿宋_GB2312"/>
          <w:b w:val="0"/>
          <w:bCs w:val="0"/>
          <w:szCs w:val="21"/>
          <w:highlight w:val="none"/>
          <w:lang w:val="en-US" w:eastAsia="zh-CN"/>
        </w:rPr>
        <w:t>必须是在中国注册的企业法人或其他组织，具有有效的营业执照，并具有独立承担民事责任的能力，</w:t>
      </w:r>
      <w:r>
        <w:rPr>
          <w:rFonts w:hint="eastAsia" w:ascii="宋体" w:hAnsi="宋体" w:eastAsia="宋体" w:cs="仿宋_GB2312"/>
          <w:b w:val="0"/>
          <w:bCs w:val="0"/>
          <w:szCs w:val="21"/>
          <w:highlight w:val="none"/>
          <w:lang w:val="en-US" w:eastAsia="zh-CN"/>
        </w:rPr>
        <w:t>同时具备金融风控领域相关经营许可。</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二</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供应商按以下要求提供</w:t>
      </w:r>
      <w:r>
        <w:rPr>
          <w:rFonts w:hint="eastAsia" w:ascii="宋体" w:hAnsi="宋体" w:eastAsia="宋体" w:cs="仿宋_GB2312"/>
          <w:b w:val="0"/>
          <w:bCs w:val="0"/>
          <w:szCs w:val="21"/>
          <w:highlight w:val="none"/>
          <w:lang w:val="en-US" w:eastAsia="zh-CN"/>
        </w:rPr>
        <w:t>国内</w:t>
      </w:r>
      <w:r>
        <w:rPr>
          <w:rFonts w:hint="eastAsia" w:ascii="宋体" w:hAnsi="宋体" w:eastAsia="宋体" w:cs="仿宋_GB2312"/>
          <w:b w:val="0"/>
          <w:bCs w:val="0"/>
          <w:szCs w:val="21"/>
          <w:highlight w:val="none"/>
        </w:rPr>
        <w:t>银行业</w:t>
      </w:r>
      <w:r>
        <w:rPr>
          <w:rFonts w:hint="eastAsia" w:ascii="宋体" w:hAnsi="宋体" w:eastAsia="宋体" w:cs="仿宋_GB2312"/>
          <w:b w:val="0"/>
          <w:bCs w:val="0"/>
          <w:szCs w:val="21"/>
          <w:highlight w:val="none"/>
          <w:lang w:val="en-US" w:eastAsia="zh-CN"/>
        </w:rPr>
        <w:t>的</w:t>
      </w:r>
      <w:r>
        <w:rPr>
          <w:rFonts w:hint="eastAsia" w:ascii="宋体" w:hAnsi="宋体" w:eastAsia="宋体" w:cs="仿宋_GB2312"/>
          <w:bCs/>
          <w:szCs w:val="21"/>
          <w:highlight w:val="none"/>
          <w:lang w:val="en-US" w:eastAsia="zh-CN"/>
        </w:rPr>
        <w:t>个人信贷业务贷中风控</w:t>
      </w:r>
      <w:r>
        <w:rPr>
          <w:rFonts w:hint="eastAsia" w:ascii="宋体" w:hAnsi="宋体" w:cs="仿宋_GB2312"/>
          <w:bCs/>
          <w:szCs w:val="21"/>
          <w:highlight w:val="none"/>
          <w:lang w:val="en-US" w:eastAsia="zh-CN"/>
        </w:rPr>
        <w:t>模型策略优化</w:t>
      </w:r>
      <w:r>
        <w:rPr>
          <w:rFonts w:hint="eastAsia" w:ascii="宋体" w:hAnsi="宋体" w:eastAsia="宋体" w:cs="仿宋_GB2312"/>
          <w:bCs/>
          <w:szCs w:val="21"/>
          <w:highlight w:val="none"/>
          <w:lang w:val="en-US" w:eastAsia="zh-CN"/>
        </w:rPr>
        <w:t>咨询</w:t>
      </w:r>
      <w:r>
        <w:rPr>
          <w:rFonts w:hint="eastAsia" w:ascii="宋体" w:hAnsi="宋体" w:eastAsia="宋体" w:cs="仿宋_GB2312"/>
          <w:b w:val="0"/>
          <w:bCs w:val="0"/>
          <w:szCs w:val="21"/>
          <w:highlight w:val="none"/>
          <w:lang w:val="en-US" w:eastAsia="zh-CN"/>
        </w:rPr>
        <w:t>项目的</w:t>
      </w:r>
      <w:r>
        <w:rPr>
          <w:rFonts w:hint="eastAsia" w:ascii="宋体" w:hAnsi="宋体" w:eastAsia="宋体" w:cs="仿宋_GB2312"/>
          <w:b w:val="0"/>
          <w:bCs w:val="0"/>
          <w:szCs w:val="21"/>
          <w:highlight w:val="none"/>
        </w:rPr>
        <w:t>案例业绩，并满足以下所有条件：</w:t>
      </w:r>
    </w:p>
    <w:p>
      <w:pPr>
        <w:spacing w:line="360" w:lineRule="auto"/>
        <w:ind w:firstLine="420" w:firstLineChars="200"/>
        <w:rPr>
          <w:rFonts w:hint="default" w:ascii="宋体" w:hAnsi="宋体" w:eastAsia="宋体" w:cs="仿宋_GB2312"/>
          <w:b w:val="0"/>
          <w:bCs w:val="0"/>
          <w:szCs w:val="21"/>
          <w:highlight w:val="none"/>
          <w:lang w:val="en-US" w:eastAsia="zh-CN"/>
        </w:rPr>
      </w:pPr>
      <w:r>
        <w:rPr>
          <w:rFonts w:hint="eastAsia" w:ascii="宋体" w:hAnsi="宋体" w:eastAsia="宋体" w:cs="仿宋_GB2312"/>
          <w:b w:val="0"/>
          <w:bCs w:val="0"/>
          <w:szCs w:val="21"/>
          <w:highlight w:val="none"/>
        </w:rPr>
        <w:t>（1）时间要求：20</w:t>
      </w:r>
      <w:r>
        <w:rPr>
          <w:rFonts w:hint="eastAsia" w:ascii="宋体" w:hAnsi="宋体" w:eastAsia="宋体" w:cs="仿宋_GB2312"/>
          <w:b w:val="0"/>
          <w:bCs w:val="0"/>
          <w:szCs w:val="21"/>
          <w:highlight w:val="none"/>
          <w:lang w:val="en-US" w:eastAsia="zh-CN"/>
        </w:rPr>
        <w:t>22</w:t>
      </w:r>
      <w:r>
        <w:rPr>
          <w:rFonts w:hint="eastAsia" w:ascii="宋体" w:hAnsi="宋体" w:eastAsia="宋体" w:cs="仿宋_GB2312"/>
          <w:b w:val="0"/>
          <w:bCs w:val="0"/>
          <w:szCs w:val="21"/>
          <w:highlight w:val="none"/>
        </w:rPr>
        <w:t>年1月1日之后签订</w:t>
      </w:r>
      <w:r>
        <w:rPr>
          <w:rFonts w:hint="eastAsia" w:ascii="宋体" w:hAnsi="宋体" w:eastAsia="宋体" w:cs="仿宋_GB2312"/>
          <w:b w:val="0"/>
          <w:bCs w:val="0"/>
          <w:szCs w:val="21"/>
          <w:highlight w:val="none"/>
          <w:lang w:val="en-US" w:eastAsia="zh-CN"/>
        </w:rPr>
        <w:t>的（以合同签订时间为准）</w:t>
      </w:r>
      <w:r>
        <w:rPr>
          <w:rFonts w:hint="eastAsia" w:ascii="宋体" w:hAnsi="宋体" w:eastAsia="宋体" w:cs="仿宋_GB2312"/>
          <w:b w:val="0"/>
          <w:bCs w:val="0"/>
          <w:szCs w:val="21"/>
          <w:highlight w:val="none"/>
        </w:rPr>
        <w:t>。</w:t>
      </w:r>
    </w:p>
    <w:p>
      <w:pPr>
        <w:spacing w:line="360" w:lineRule="auto"/>
        <w:ind w:firstLine="420" w:firstLineChars="200"/>
        <w:rPr>
          <w:rFonts w:hint="eastAsia" w:ascii="宋体" w:hAnsi="宋体" w:eastAsia="宋体" w:cs="仿宋_GB2312"/>
          <w:b w:val="0"/>
          <w:bCs w:val="0"/>
          <w:szCs w:val="21"/>
          <w:highlight w:val="none"/>
          <w:lang w:eastAsia="zh-CN"/>
        </w:rPr>
      </w:pPr>
      <w:r>
        <w:rPr>
          <w:rFonts w:hint="eastAsia" w:ascii="宋体" w:hAnsi="宋体" w:eastAsia="宋体" w:cs="仿宋_GB2312"/>
          <w:b w:val="0"/>
          <w:bCs w:val="0"/>
          <w:szCs w:val="21"/>
          <w:highlight w:val="none"/>
        </w:rPr>
        <w:t>（2）</w:t>
      </w:r>
      <w:r>
        <w:rPr>
          <w:rFonts w:hint="eastAsia" w:ascii="宋体" w:hAnsi="宋体" w:eastAsia="宋体" w:cs="仿宋_GB2312"/>
          <w:b w:val="0"/>
          <w:bCs w:val="0"/>
          <w:szCs w:val="21"/>
          <w:highlight w:val="none"/>
          <w:lang w:val="en-US" w:eastAsia="zh-CN"/>
        </w:rPr>
        <w:t>内容</w:t>
      </w:r>
      <w:r>
        <w:rPr>
          <w:rFonts w:hint="eastAsia" w:ascii="宋体" w:hAnsi="宋体" w:eastAsia="宋体" w:cs="仿宋_GB2312"/>
          <w:b w:val="0"/>
          <w:bCs w:val="0"/>
          <w:szCs w:val="21"/>
          <w:highlight w:val="none"/>
        </w:rPr>
        <w:t>要求：与国内银行直接签订</w:t>
      </w:r>
      <w:r>
        <w:rPr>
          <w:rFonts w:hint="eastAsia" w:ascii="宋体" w:hAnsi="宋体" w:eastAsia="宋体" w:cs="仿宋_GB2312"/>
          <w:b w:val="0"/>
          <w:bCs w:val="0"/>
          <w:szCs w:val="21"/>
          <w:highlight w:val="none"/>
          <w:lang w:val="en-US" w:eastAsia="zh-CN"/>
        </w:rPr>
        <w:t>的</w:t>
      </w:r>
      <w:r>
        <w:rPr>
          <w:rFonts w:hint="eastAsia" w:ascii="宋体" w:hAnsi="宋体" w:eastAsia="宋体" w:cs="仿宋_GB2312"/>
          <w:bCs/>
          <w:szCs w:val="21"/>
          <w:highlight w:val="none"/>
          <w:lang w:val="en-US" w:eastAsia="zh-CN"/>
        </w:rPr>
        <w:t>个人信贷业务贷中风控</w:t>
      </w:r>
      <w:r>
        <w:rPr>
          <w:rFonts w:hint="eastAsia" w:ascii="宋体" w:hAnsi="宋体" w:cs="仿宋_GB2312"/>
          <w:bCs/>
          <w:szCs w:val="21"/>
          <w:highlight w:val="none"/>
          <w:lang w:val="en-US" w:eastAsia="zh-CN"/>
        </w:rPr>
        <w:t>模型策略优化</w:t>
      </w:r>
      <w:r>
        <w:rPr>
          <w:rFonts w:hint="eastAsia" w:ascii="宋体" w:hAnsi="宋体" w:eastAsia="宋体" w:cs="仿宋_GB2312"/>
          <w:bCs/>
          <w:szCs w:val="21"/>
          <w:highlight w:val="none"/>
          <w:lang w:val="en-US" w:eastAsia="zh-CN"/>
        </w:rPr>
        <w:t>咨询</w:t>
      </w:r>
      <w:r>
        <w:rPr>
          <w:rFonts w:hint="eastAsia" w:ascii="宋体" w:hAnsi="宋体" w:eastAsia="宋体" w:cs="仿宋_GB2312"/>
          <w:b w:val="0"/>
          <w:bCs w:val="0"/>
          <w:szCs w:val="21"/>
          <w:highlight w:val="none"/>
          <w:lang w:val="en-US" w:eastAsia="zh-CN"/>
        </w:rPr>
        <w:t>项目</w:t>
      </w:r>
      <w:r>
        <w:rPr>
          <w:rFonts w:hint="eastAsia" w:ascii="宋体" w:hAnsi="宋体" w:eastAsia="宋体" w:cs="仿宋_GB2312"/>
          <w:b w:val="0"/>
          <w:bCs w:val="0"/>
          <w:szCs w:val="21"/>
          <w:highlight w:val="none"/>
        </w:rPr>
        <w:t>案例2个，须提供合同及结算发票复印件并加盖公章。注：合同内容应体现人员、</w:t>
      </w:r>
      <w:r>
        <w:rPr>
          <w:rFonts w:hint="eastAsia" w:ascii="宋体" w:hAnsi="宋体" w:eastAsia="宋体" w:cs="仿宋_GB2312"/>
          <w:b w:val="0"/>
          <w:bCs w:val="0"/>
          <w:szCs w:val="21"/>
          <w:highlight w:val="none"/>
          <w:lang w:val="en-US" w:eastAsia="zh-CN"/>
        </w:rPr>
        <w:t>服务内容</w:t>
      </w:r>
      <w:r>
        <w:rPr>
          <w:rFonts w:hint="eastAsia" w:ascii="宋体" w:hAnsi="宋体" w:eastAsia="宋体" w:cs="仿宋_GB2312"/>
          <w:b w:val="0"/>
          <w:bCs w:val="0"/>
          <w:szCs w:val="21"/>
          <w:highlight w:val="none"/>
        </w:rPr>
        <w:t>、资金等方面具有相应的服务实施能力。（包括但不限于以下关键信息：项目名称、服务内容、合同金额、合同标的内容页、签订日期、双方签字盖章页，证明实施案例与本次采购需求相关的内容）合同签订主体应与供应商名称保持一致（母公司、子公司或兄弟公司业绩无效）；合同内容不得遮挡，否则不予认定</w:t>
      </w:r>
      <w:r>
        <w:rPr>
          <w:rFonts w:hint="eastAsia" w:ascii="宋体" w:hAnsi="宋体" w:eastAsia="宋体" w:cs="仿宋_GB2312"/>
          <w:b w:val="0"/>
          <w:bCs w:val="0"/>
          <w:szCs w:val="21"/>
          <w:highlight w:val="none"/>
          <w:lang w:eastAsia="zh-CN"/>
        </w:rPr>
        <w:t>。</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三</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供应商在202</w:t>
      </w:r>
      <w:r>
        <w:rPr>
          <w:rFonts w:hint="eastAsia" w:ascii="宋体" w:hAnsi="宋体" w:eastAsia="宋体" w:cs="仿宋_GB2312"/>
          <w:b w:val="0"/>
          <w:bCs w:val="0"/>
          <w:szCs w:val="21"/>
          <w:highlight w:val="none"/>
          <w:lang w:val="en-US" w:eastAsia="zh-CN"/>
        </w:rPr>
        <w:t>2</w:t>
      </w:r>
      <w:r>
        <w:rPr>
          <w:rFonts w:hint="eastAsia" w:ascii="宋体" w:hAnsi="宋体" w:eastAsia="宋体" w:cs="仿宋_GB2312"/>
          <w:b w:val="0"/>
          <w:bCs w:val="0"/>
          <w:szCs w:val="21"/>
          <w:highlight w:val="none"/>
        </w:rPr>
        <w:t>年1月1日至今的经营活动中无重大违法记录，没有处于被责令停业或投标资格被取消、财产被接管、冻结的状态，未被“信用中国”网站(www.creditchina.gov.cn)列入失信被执行人名单。须提供在202</w:t>
      </w:r>
      <w:r>
        <w:rPr>
          <w:rFonts w:hint="eastAsia" w:ascii="宋体" w:hAnsi="宋体" w:eastAsia="宋体" w:cs="仿宋_GB2312"/>
          <w:b w:val="0"/>
          <w:bCs w:val="0"/>
          <w:szCs w:val="21"/>
          <w:highlight w:val="none"/>
          <w:lang w:val="en-US" w:eastAsia="zh-CN"/>
        </w:rPr>
        <w:t>2</w:t>
      </w:r>
      <w:r>
        <w:rPr>
          <w:rFonts w:hint="eastAsia" w:ascii="宋体" w:hAnsi="宋体" w:eastAsia="宋体" w:cs="仿宋_GB2312"/>
          <w:b w:val="0"/>
          <w:bCs w:val="0"/>
          <w:szCs w:val="21"/>
          <w:highlight w:val="none"/>
        </w:rPr>
        <w:t>年1月1日至今无重大违法记录声明书并加盖公章；查询“信用中国”网站未列入失信被执行人名单截图证明并加盖公章。</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四</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企业经营状态正常，在国家企业信用信息公示系统（http://www.gsxt.gov.cn/）企业查询信息正常（开业状态），无行政处罚信息、无列入经营异常名录信息、无列入严重违法失信企业名单（黑名单）信息，提供截图证明并加盖公章。</w:t>
      </w:r>
    </w:p>
    <w:p>
      <w:pPr>
        <w:spacing w:line="360" w:lineRule="auto"/>
        <w:ind w:firstLine="420" w:firstLineChars="200"/>
        <w:rPr>
          <w:rFonts w:hint="eastAsia" w:ascii="宋体" w:hAnsi="宋体" w:eastAsia="宋体" w:cs="仿宋_GB2312"/>
          <w:b w:val="0"/>
          <w:bCs w:val="0"/>
          <w:szCs w:val="21"/>
          <w:highlight w:val="none"/>
        </w:rPr>
      </w:pP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lang w:val="en-US" w:eastAsia="zh-CN"/>
        </w:rPr>
        <w:t>五</w:t>
      </w:r>
      <w:r>
        <w:rPr>
          <w:rFonts w:hint="eastAsia" w:ascii="宋体" w:hAnsi="宋体" w:eastAsia="宋体" w:cs="仿宋_GB2312"/>
          <w:b w:val="0"/>
          <w:bCs w:val="0"/>
          <w:szCs w:val="21"/>
          <w:highlight w:val="none"/>
          <w:lang w:eastAsia="zh-CN"/>
        </w:rPr>
        <w:t>）</w:t>
      </w:r>
      <w:r>
        <w:rPr>
          <w:rFonts w:hint="eastAsia" w:ascii="宋体" w:hAnsi="宋体" w:eastAsia="宋体" w:cs="仿宋_GB2312"/>
          <w:b w:val="0"/>
          <w:bCs w:val="0"/>
          <w:szCs w:val="21"/>
          <w:highlight w:val="none"/>
        </w:rPr>
        <w:t>供应商与采购人存在利害关系，可能影响采购公正性的法人、其他组织或者自然人，不得参加本次采购活动；单位负责人为同一人或者存在控股、管理关系的不同单位，不得同时参加同一项目采购活动。如供应商出现上述情况，视为无效响应。供应商须提供承诺函并加盖供应商公章。</w:t>
      </w:r>
    </w:p>
    <w:p>
      <w:pPr>
        <w:numPr>
          <w:ilvl w:val="0"/>
          <w:numId w:val="0"/>
        </w:numPr>
        <w:spacing w:line="360" w:lineRule="auto"/>
        <w:ind w:firstLine="420" w:firstLineChars="200"/>
        <w:rPr>
          <w:highlight w:val="none"/>
        </w:rPr>
      </w:pPr>
      <w:r>
        <w:rPr>
          <w:rFonts w:hint="eastAsia" w:ascii="宋体" w:hAnsi="宋体" w:cs="仿宋_GB2312"/>
          <w:szCs w:val="21"/>
          <w:highlight w:val="none"/>
          <w:lang w:eastAsia="zh-CN"/>
        </w:rPr>
        <w:t>（</w:t>
      </w:r>
      <w:r>
        <w:rPr>
          <w:rFonts w:hint="eastAsia" w:ascii="宋体" w:hAnsi="宋体" w:cs="仿宋_GB2312"/>
          <w:szCs w:val="21"/>
          <w:highlight w:val="none"/>
          <w:lang w:val="en-US" w:eastAsia="zh-CN"/>
        </w:rPr>
        <w:t>六</w:t>
      </w:r>
      <w:r>
        <w:rPr>
          <w:rFonts w:hint="eastAsia" w:ascii="宋体" w:hAnsi="宋体" w:cs="仿宋_GB2312"/>
          <w:szCs w:val="21"/>
          <w:highlight w:val="none"/>
          <w:lang w:eastAsia="zh-CN"/>
        </w:rPr>
        <w:t>）</w:t>
      </w:r>
      <w:r>
        <w:rPr>
          <w:rFonts w:hint="eastAsia" w:ascii="宋体" w:hAnsi="宋体" w:eastAsia="宋体" w:cs="仿宋_GB2312"/>
          <w:szCs w:val="21"/>
          <w:highlight w:val="none"/>
        </w:rPr>
        <w:t>上述相关证明材料在递交反馈《</w:t>
      </w:r>
      <w:r>
        <w:rPr>
          <w:rFonts w:hint="eastAsia" w:ascii="宋体" w:hAnsi="宋体" w:eastAsia="宋体" w:cs="仿宋_GB2312"/>
          <w:b w:val="0"/>
          <w:bCs w:val="0"/>
          <w:szCs w:val="21"/>
          <w:highlight w:val="none"/>
        </w:rPr>
        <w:t>东莞农村商业银行</w:t>
      </w:r>
      <w:r>
        <w:rPr>
          <w:rFonts w:hint="eastAsia" w:ascii="宋体" w:hAnsi="宋体" w:eastAsia="宋体" w:cs="仿宋_GB2312"/>
          <w:bCs/>
          <w:szCs w:val="21"/>
          <w:highlight w:val="none"/>
          <w:lang w:val="en-US" w:eastAsia="zh-CN"/>
        </w:rPr>
        <w:t>个人信贷业务贷中风控</w:t>
      </w:r>
      <w:r>
        <w:rPr>
          <w:rFonts w:hint="eastAsia" w:ascii="宋体" w:hAnsi="宋体" w:cs="仿宋_GB2312"/>
          <w:bCs/>
          <w:szCs w:val="21"/>
          <w:highlight w:val="none"/>
          <w:lang w:val="en-US" w:eastAsia="zh-CN"/>
        </w:rPr>
        <w:t>模型策略优化</w:t>
      </w:r>
      <w:r>
        <w:rPr>
          <w:rFonts w:hint="eastAsia" w:ascii="宋体" w:hAnsi="宋体" w:eastAsia="宋体" w:cs="仿宋_GB2312"/>
          <w:bCs/>
          <w:szCs w:val="21"/>
          <w:highlight w:val="none"/>
          <w:lang w:val="en-US" w:eastAsia="zh-CN"/>
        </w:rPr>
        <w:t>咨询</w:t>
      </w:r>
      <w:r>
        <w:rPr>
          <w:rFonts w:hint="eastAsia" w:ascii="宋体" w:hAnsi="宋体" w:eastAsia="宋体" w:cs="仿宋_GB2312"/>
          <w:b w:val="0"/>
          <w:bCs w:val="0"/>
          <w:szCs w:val="21"/>
          <w:highlight w:val="none"/>
          <w:lang w:val="en-US" w:eastAsia="zh-CN"/>
        </w:rPr>
        <w:t>项目</w:t>
      </w:r>
      <w:r>
        <w:rPr>
          <w:rFonts w:hint="eastAsia" w:ascii="宋体" w:hAnsi="宋体" w:eastAsia="宋体" w:cs="仿宋_GB2312"/>
          <w:szCs w:val="21"/>
          <w:highlight w:val="none"/>
        </w:rPr>
        <w:t>市场调研记录表》时应提供上述相关证明材料的复印件</w:t>
      </w:r>
      <w:r>
        <w:rPr>
          <w:rFonts w:hint="eastAsia" w:ascii="宋体" w:hAnsi="宋体" w:cs="仿宋_GB2312"/>
          <w:szCs w:val="21"/>
          <w:highlight w:val="none"/>
          <w:lang w:val="en-US" w:eastAsia="zh-CN"/>
        </w:rPr>
        <w:t>以及</w:t>
      </w:r>
      <w:r>
        <w:rPr>
          <w:rFonts w:hint="eastAsia" w:ascii="宋体" w:hAnsi="宋体" w:eastAsia="宋体" w:cs="仿宋_GB2312"/>
          <w:szCs w:val="21"/>
          <w:highlight w:val="none"/>
        </w:rPr>
        <w:t>加盖供应商公章的扫描件。</w:t>
      </w:r>
    </w:p>
    <w:sectPr>
      <w:footerReference r:id="rId3" w:type="default"/>
      <w:pgSz w:w="11906" w:h="16838"/>
      <w:pgMar w:top="1134" w:right="1077"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58AC11-7204-4A4F-8C6D-789A639DA335}"/>
    <w:docVar w:name="DocumentName" w:val="关于举办“‘医’瞬间 心跳的感觉”2023年青年趣味主题联谊活动的通知"/>
  </w:docVars>
  <w:rsids>
    <w:rsidRoot w:val="009F2FB4"/>
    <w:rsid w:val="00003D19"/>
    <w:rsid w:val="00041D24"/>
    <w:rsid w:val="00063342"/>
    <w:rsid w:val="00072117"/>
    <w:rsid w:val="00074E30"/>
    <w:rsid w:val="000758EF"/>
    <w:rsid w:val="00093499"/>
    <w:rsid w:val="000D3882"/>
    <w:rsid w:val="000E6541"/>
    <w:rsid w:val="000F4946"/>
    <w:rsid w:val="00110408"/>
    <w:rsid w:val="00115306"/>
    <w:rsid w:val="00115BC4"/>
    <w:rsid w:val="00137EAD"/>
    <w:rsid w:val="001A46B3"/>
    <w:rsid w:val="001B029E"/>
    <w:rsid w:val="001C2DAC"/>
    <w:rsid w:val="001D4644"/>
    <w:rsid w:val="001E7CB5"/>
    <w:rsid w:val="002263C9"/>
    <w:rsid w:val="00230479"/>
    <w:rsid w:val="00256C17"/>
    <w:rsid w:val="00262832"/>
    <w:rsid w:val="0026628E"/>
    <w:rsid w:val="00295FE6"/>
    <w:rsid w:val="002B7344"/>
    <w:rsid w:val="002C13F5"/>
    <w:rsid w:val="002E69AE"/>
    <w:rsid w:val="003000DE"/>
    <w:rsid w:val="003161EC"/>
    <w:rsid w:val="00327475"/>
    <w:rsid w:val="003425BD"/>
    <w:rsid w:val="00342647"/>
    <w:rsid w:val="00370FAA"/>
    <w:rsid w:val="00372F3B"/>
    <w:rsid w:val="00377276"/>
    <w:rsid w:val="00386F6F"/>
    <w:rsid w:val="003900F9"/>
    <w:rsid w:val="003B04D5"/>
    <w:rsid w:val="003B0517"/>
    <w:rsid w:val="003D2BF2"/>
    <w:rsid w:val="003D35ED"/>
    <w:rsid w:val="00404658"/>
    <w:rsid w:val="00410A8F"/>
    <w:rsid w:val="004465C1"/>
    <w:rsid w:val="004518E9"/>
    <w:rsid w:val="004842C7"/>
    <w:rsid w:val="004B3E2C"/>
    <w:rsid w:val="0051246D"/>
    <w:rsid w:val="00512C72"/>
    <w:rsid w:val="0052378B"/>
    <w:rsid w:val="00527815"/>
    <w:rsid w:val="00531D29"/>
    <w:rsid w:val="00561106"/>
    <w:rsid w:val="00561F31"/>
    <w:rsid w:val="005707D8"/>
    <w:rsid w:val="0058010C"/>
    <w:rsid w:val="005A155C"/>
    <w:rsid w:val="005B370B"/>
    <w:rsid w:val="005B77FA"/>
    <w:rsid w:val="005C769B"/>
    <w:rsid w:val="005E0F22"/>
    <w:rsid w:val="00657D6E"/>
    <w:rsid w:val="00661EED"/>
    <w:rsid w:val="0067085A"/>
    <w:rsid w:val="0067708D"/>
    <w:rsid w:val="00683ADB"/>
    <w:rsid w:val="00684671"/>
    <w:rsid w:val="0068743C"/>
    <w:rsid w:val="00697DF5"/>
    <w:rsid w:val="006B282D"/>
    <w:rsid w:val="006E028B"/>
    <w:rsid w:val="006E5C90"/>
    <w:rsid w:val="007071B7"/>
    <w:rsid w:val="00746096"/>
    <w:rsid w:val="00753D1D"/>
    <w:rsid w:val="00755FE0"/>
    <w:rsid w:val="007C1E65"/>
    <w:rsid w:val="007C4B35"/>
    <w:rsid w:val="007D1572"/>
    <w:rsid w:val="00801B16"/>
    <w:rsid w:val="0080258B"/>
    <w:rsid w:val="00812356"/>
    <w:rsid w:val="00833E0B"/>
    <w:rsid w:val="00834783"/>
    <w:rsid w:val="00876154"/>
    <w:rsid w:val="008877E3"/>
    <w:rsid w:val="008E4692"/>
    <w:rsid w:val="008E739F"/>
    <w:rsid w:val="008F5664"/>
    <w:rsid w:val="00906BCA"/>
    <w:rsid w:val="00932867"/>
    <w:rsid w:val="00932D28"/>
    <w:rsid w:val="00955B58"/>
    <w:rsid w:val="00960AD5"/>
    <w:rsid w:val="00967333"/>
    <w:rsid w:val="00997BAF"/>
    <w:rsid w:val="009A6E15"/>
    <w:rsid w:val="009C139A"/>
    <w:rsid w:val="009C6873"/>
    <w:rsid w:val="009F2FB4"/>
    <w:rsid w:val="009F5DB2"/>
    <w:rsid w:val="00A062E6"/>
    <w:rsid w:val="00AF0288"/>
    <w:rsid w:val="00AF1232"/>
    <w:rsid w:val="00AF5E80"/>
    <w:rsid w:val="00AF7968"/>
    <w:rsid w:val="00B561E7"/>
    <w:rsid w:val="00B71931"/>
    <w:rsid w:val="00B77CFE"/>
    <w:rsid w:val="00B827DC"/>
    <w:rsid w:val="00BB0D09"/>
    <w:rsid w:val="00BB1584"/>
    <w:rsid w:val="00BB432E"/>
    <w:rsid w:val="00BD79AF"/>
    <w:rsid w:val="00BF2C23"/>
    <w:rsid w:val="00C046DA"/>
    <w:rsid w:val="00C15B9E"/>
    <w:rsid w:val="00C403E0"/>
    <w:rsid w:val="00C479E2"/>
    <w:rsid w:val="00C707AE"/>
    <w:rsid w:val="00C73729"/>
    <w:rsid w:val="00CB63F4"/>
    <w:rsid w:val="00CC1905"/>
    <w:rsid w:val="00CD62A6"/>
    <w:rsid w:val="00CE7C21"/>
    <w:rsid w:val="00D37003"/>
    <w:rsid w:val="00D37546"/>
    <w:rsid w:val="00D45590"/>
    <w:rsid w:val="00D809E5"/>
    <w:rsid w:val="00DA0CD7"/>
    <w:rsid w:val="00DB70C8"/>
    <w:rsid w:val="00DC0BBA"/>
    <w:rsid w:val="00DD11BD"/>
    <w:rsid w:val="00E16703"/>
    <w:rsid w:val="00E32F5E"/>
    <w:rsid w:val="00E751AB"/>
    <w:rsid w:val="00E762DF"/>
    <w:rsid w:val="00E8570E"/>
    <w:rsid w:val="00E96664"/>
    <w:rsid w:val="00EC30FE"/>
    <w:rsid w:val="00EF6ABC"/>
    <w:rsid w:val="00EF7796"/>
    <w:rsid w:val="00F3242F"/>
    <w:rsid w:val="00F557E2"/>
    <w:rsid w:val="00F83F86"/>
    <w:rsid w:val="00FA2FB4"/>
    <w:rsid w:val="00FC204D"/>
    <w:rsid w:val="00FC3DC7"/>
    <w:rsid w:val="00FE62F0"/>
    <w:rsid w:val="00FE706B"/>
    <w:rsid w:val="01254990"/>
    <w:rsid w:val="012B7068"/>
    <w:rsid w:val="01A259B5"/>
    <w:rsid w:val="0277301A"/>
    <w:rsid w:val="027C41D4"/>
    <w:rsid w:val="029108A9"/>
    <w:rsid w:val="03043F03"/>
    <w:rsid w:val="031C15A9"/>
    <w:rsid w:val="036D482C"/>
    <w:rsid w:val="03867954"/>
    <w:rsid w:val="04C87667"/>
    <w:rsid w:val="04DA1F6F"/>
    <w:rsid w:val="05232EBD"/>
    <w:rsid w:val="05793607"/>
    <w:rsid w:val="058B0D7D"/>
    <w:rsid w:val="0594240C"/>
    <w:rsid w:val="0624220E"/>
    <w:rsid w:val="06A27BF1"/>
    <w:rsid w:val="07047ECE"/>
    <w:rsid w:val="071B2025"/>
    <w:rsid w:val="07204EF8"/>
    <w:rsid w:val="07922158"/>
    <w:rsid w:val="07E13EC2"/>
    <w:rsid w:val="07EA340B"/>
    <w:rsid w:val="07FD1FF2"/>
    <w:rsid w:val="080C603B"/>
    <w:rsid w:val="08103A22"/>
    <w:rsid w:val="08341171"/>
    <w:rsid w:val="08686258"/>
    <w:rsid w:val="087C10FB"/>
    <w:rsid w:val="08897A92"/>
    <w:rsid w:val="090C06B5"/>
    <w:rsid w:val="093211A4"/>
    <w:rsid w:val="09500754"/>
    <w:rsid w:val="097129E3"/>
    <w:rsid w:val="098B5FF5"/>
    <w:rsid w:val="09CC25EC"/>
    <w:rsid w:val="09E50C48"/>
    <w:rsid w:val="09E91E18"/>
    <w:rsid w:val="09F93B0B"/>
    <w:rsid w:val="0A2A2E4F"/>
    <w:rsid w:val="0A503B7A"/>
    <w:rsid w:val="0A6A4724"/>
    <w:rsid w:val="0AE0030A"/>
    <w:rsid w:val="0AEC6744"/>
    <w:rsid w:val="0B2E7CE5"/>
    <w:rsid w:val="0B6B4077"/>
    <w:rsid w:val="0B833E65"/>
    <w:rsid w:val="0BBF029E"/>
    <w:rsid w:val="0C60020A"/>
    <w:rsid w:val="0CE54E38"/>
    <w:rsid w:val="0D201B67"/>
    <w:rsid w:val="0D277AA0"/>
    <w:rsid w:val="0D5973C8"/>
    <w:rsid w:val="0D914791"/>
    <w:rsid w:val="0DA0163B"/>
    <w:rsid w:val="0DD8165E"/>
    <w:rsid w:val="0DDA2C6A"/>
    <w:rsid w:val="0E003006"/>
    <w:rsid w:val="0E531FCE"/>
    <w:rsid w:val="0E5F4D0D"/>
    <w:rsid w:val="0E6702DE"/>
    <w:rsid w:val="0EDE7171"/>
    <w:rsid w:val="0EEA0580"/>
    <w:rsid w:val="0F075103"/>
    <w:rsid w:val="10524587"/>
    <w:rsid w:val="10BC3DB7"/>
    <w:rsid w:val="10BD6382"/>
    <w:rsid w:val="10E27AA2"/>
    <w:rsid w:val="111D5BA4"/>
    <w:rsid w:val="115D7105"/>
    <w:rsid w:val="11886D50"/>
    <w:rsid w:val="11C21371"/>
    <w:rsid w:val="11CC10FB"/>
    <w:rsid w:val="122F2B31"/>
    <w:rsid w:val="12FA3BFF"/>
    <w:rsid w:val="1316681A"/>
    <w:rsid w:val="136E36ED"/>
    <w:rsid w:val="1381018F"/>
    <w:rsid w:val="139F035F"/>
    <w:rsid w:val="14247998"/>
    <w:rsid w:val="14C72A25"/>
    <w:rsid w:val="15704C38"/>
    <w:rsid w:val="15785D0F"/>
    <w:rsid w:val="15824087"/>
    <w:rsid w:val="15AC3C0A"/>
    <w:rsid w:val="15E51C0A"/>
    <w:rsid w:val="169731FB"/>
    <w:rsid w:val="16EB6EA7"/>
    <w:rsid w:val="16F76A7B"/>
    <w:rsid w:val="16F93C3E"/>
    <w:rsid w:val="16F94D56"/>
    <w:rsid w:val="16FB1BF9"/>
    <w:rsid w:val="171A3E19"/>
    <w:rsid w:val="171F05FA"/>
    <w:rsid w:val="1735378C"/>
    <w:rsid w:val="178737DD"/>
    <w:rsid w:val="17A961D4"/>
    <w:rsid w:val="17AF2403"/>
    <w:rsid w:val="185309F7"/>
    <w:rsid w:val="18565841"/>
    <w:rsid w:val="18B52D40"/>
    <w:rsid w:val="1907212B"/>
    <w:rsid w:val="190B7602"/>
    <w:rsid w:val="196732BA"/>
    <w:rsid w:val="19A5366A"/>
    <w:rsid w:val="19CF7EE4"/>
    <w:rsid w:val="1A3630E4"/>
    <w:rsid w:val="1A574945"/>
    <w:rsid w:val="1AF070C2"/>
    <w:rsid w:val="1AFA1BD0"/>
    <w:rsid w:val="1AFF6057"/>
    <w:rsid w:val="1B082E46"/>
    <w:rsid w:val="1B59326E"/>
    <w:rsid w:val="1BB81089"/>
    <w:rsid w:val="1C0F652B"/>
    <w:rsid w:val="1C387059"/>
    <w:rsid w:val="1C5A2DAB"/>
    <w:rsid w:val="1C8D06C8"/>
    <w:rsid w:val="1CA6768D"/>
    <w:rsid w:val="1CE01E3B"/>
    <w:rsid w:val="1D754862"/>
    <w:rsid w:val="1D9477C7"/>
    <w:rsid w:val="1DA7501D"/>
    <w:rsid w:val="1E411614"/>
    <w:rsid w:val="1ED50A74"/>
    <w:rsid w:val="1EDF5915"/>
    <w:rsid w:val="1EFD574E"/>
    <w:rsid w:val="1F8C7450"/>
    <w:rsid w:val="1F9736CC"/>
    <w:rsid w:val="1FAE710E"/>
    <w:rsid w:val="1FD004F5"/>
    <w:rsid w:val="20854257"/>
    <w:rsid w:val="20986689"/>
    <w:rsid w:val="20D962CC"/>
    <w:rsid w:val="212F207F"/>
    <w:rsid w:val="21452025"/>
    <w:rsid w:val="21551D08"/>
    <w:rsid w:val="218D7FF4"/>
    <w:rsid w:val="21B40A0F"/>
    <w:rsid w:val="21CB284F"/>
    <w:rsid w:val="21E7182E"/>
    <w:rsid w:val="21E9106C"/>
    <w:rsid w:val="21F64047"/>
    <w:rsid w:val="225954E7"/>
    <w:rsid w:val="22814211"/>
    <w:rsid w:val="228F6DEB"/>
    <w:rsid w:val="22C02917"/>
    <w:rsid w:val="234165E7"/>
    <w:rsid w:val="235A1217"/>
    <w:rsid w:val="236C427B"/>
    <w:rsid w:val="23C15D44"/>
    <w:rsid w:val="241F0A0F"/>
    <w:rsid w:val="245B55A7"/>
    <w:rsid w:val="248B7883"/>
    <w:rsid w:val="24C774F3"/>
    <w:rsid w:val="24E32653"/>
    <w:rsid w:val="24FA7B37"/>
    <w:rsid w:val="250A5BD3"/>
    <w:rsid w:val="25223279"/>
    <w:rsid w:val="25933310"/>
    <w:rsid w:val="25C01E7E"/>
    <w:rsid w:val="25E26D21"/>
    <w:rsid w:val="25FC7E3F"/>
    <w:rsid w:val="26256EA1"/>
    <w:rsid w:val="263962C5"/>
    <w:rsid w:val="26F853FE"/>
    <w:rsid w:val="27074394"/>
    <w:rsid w:val="27422A77"/>
    <w:rsid w:val="27827560"/>
    <w:rsid w:val="278D6D62"/>
    <w:rsid w:val="27C32548"/>
    <w:rsid w:val="27EF0B64"/>
    <w:rsid w:val="28AA6FC3"/>
    <w:rsid w:val="28E33CA5"/>
    <w:rsid w:val="29020CD6"/>
    <w:rsid w:val="296E5E07"/>
    <w:rsid w:val="297A24E8"/>
    <w:rsid w:val="29A8028E"/>
    <w:rsid w:val="29CC3C22"/>
    <w:rsid w:val="29FA516E"/>
    <w:rsid w:val="2A006F73"/>
    <w:rsid w:val="2A4F5310"/>
    <w:rsid w:val="2AF056DE"/>
    <w:rsid w:val="2B3E26E9"/>
    <w:rsid w:val="2B5D7831"/>
    <w:rsid w:val="2BA04180"/>
    <w:rsid w:val="2BC65CD8"/>
    <w:rsid w:val="2C175D66"/>
    <w:rsid w:val="2C27277D"/>
    <w:rsid w:val="2C5D6901"/>
    <w:rsid w:val="2C9B32AA"/>
    <w:rsid w:val="2CFE6F5D"/>
    <w:rsid w:val="2D06375B"/>
    <w:rsid w:val="2D30727C"/>
    <w:rsid w:val="2DA303B2"/>
    <w:rsid w:val="2DB96DCE"/>
    <w:rsid w:val="2DFA397D"/>
    <w:rsid w:val="2E0809F2"/>
    <w:rsid w:val="2E083C44"/>
    <w:rsid w:val="2E533718"/>
    <w:rsid w:val="2EC8784D"/>
    <w:rsid w:val="2F93021B"/>
    <w:rsid w:val="2FAE7798"/>
    <w:rsid w:val="2FB3074F"/>
    <w:rsid w:val="2FF279EE"/>
    <w:rsid w:val="302A16B2"/>
    <w:rsid w:val="302C34A7"/>
    <w:rsid w:val="3034552F"/>
    <w:rsid w:val="304E3E50"/>
    <w:rsid w:val="306A3D7B"/>
    <w:rsid w:val="30D07C22"/>
    <w:rsid w:val="31C35F31"/>
    <w:rsid w:val="31E41CE9"/>
    <w:rsid w:val="320F2B2D"/>
    <w:rsid w:val="328153EA"/>
    <w:rsid w:val="328A4FE6"/>
    <w:rsid w:val="32A2020C"/>
    <w:rsid w:val="32B45A4A"/>
    <w:rsid w:val="32C338D5"/>
    <w:rsid w:val="32ED71B1"/>
    <w:rsid w:val="33421B7C"/>
    <w:rsid w:val="337C3E29"/>
    <w:rsid w:val="3392652C"/>
    <w:rsid w:val="33C36CFB"/>
    <w:rsid w:val="34052FE8"/>
    <w:rsid w:val="340E164C"/>
    <w:rsid w:val="34143559"/>
    <w:rsid w:val="354074ED"/>
    <w:rsid w:val="35605FCE"/>
    <w:rsid w:val="35882501"/>
    <w:rsid w:val="358F726C"/>
    <w:rsid w:val="35B10D32"/>
    <w:rsid w:val="3601226B"/>
    <w:rsid w:val="365B680B"/>
    <w:rsid w:val="37440EBB"/>
    <w:rsid w:val="375B040C"/>
    <w:rsid w:val="37643EED"/>
    <w:rsid w:val="377C55D5"/>
    <w:rsid w:val="378B5F39"/>
    <w:rsid w:val="37907BFA"/>
    <w:rsid w:val="379F24CF"/>
    <w:rsid w:val="38485F9B"/>
    <w:rsid w:val="388C0E52"/>
    <w:rsid w:val="388E6F92"/>
    <w:rsid w:val="39243950"/>
    <w:rsid w:val="39CF2763"/>
    <w:rsid w:val="3A1976E0"/>
    <w:rsid w:val="3A570AD9"/>
    <w:rsid w:val="3A666609"/>
    <w:rsid w:val="3A786573"/>
    <w:rsid w:val="3A9D40B6"/>
    <w:rsid w:val="3AF52546"/>
    <w:rsid w:val="3BDC148B"/>
    <w:rsid w:val="3BEC7F9A"/>
    <w:rsid w:val="3C161724"/>
    <w:rsid w:val="3C39735A"/>
    <w:rsid w:val="3C643A21"/>
    <w:rsid w:val="3C6826F4"/>
    <w:rsid w:val="3C907D69"/>
    <w:rsid w:val="3C9776F3"/>
    <w:rsid w:val="3D326F92"/>
    <w:rsid w:val="3D3D6F88"/>
    <w:rsid w:val="3D6B054C"/>
    <w:rsid w:val="3DBD2567"/>
    <w:rsid w:val="3DD12D56"/>
    <w:rsid w:val="3E0E185F"/>
    <w:rsid w:val="3E0E5984"/>
    <w:rsid w:val="3E101EA5"/>
    <w:rsid w:val="3E262EBE"/>
    <w:rsid w:val="3E900B33"/>
    <w:rsid w:val="3EAA16DD"/>
    <w:rsid w:val="3EDF4135"/>
    <w:rsid w:val="3EF45B57"/>
    <w:rsid w:val="3F2029A0"/>
    <w:rsid w:val="3F2B709E"/>
    <w:rsid w:val="3F433E5A"/>
    <w:rsid w:val="3F593911"/>
    <w:rsid w:val="3F615A89"/>
    <w:rsid w:val="3FCE0156"/>
    <w:rsid w:val="3FF3391E"/>
    <w:rsid w:val="40275AB8"/>
    <w:rsid w:val="404235CF"/>
    <w:rsid w:val="405F012D"/>
    <w:rsid w:val="406C1C07"/>
    <w:rsid w:val="40885539"/>
    <w:rsid w:val="40CF284C"/>
    <w:rsid w:val="40E666D6"/>
    <w:rsid w:val="410A27F8"/>
    <w:rsid w:val="412A3870"/>
    <w:rsid w:val="412C6278"/>
    <w:rsid w:val="4144179F"/>
    <w:rsid w:val="41A43F03"/>
    <w:rsid w:val="41B521B1"/>
    <w:rsid w:val="41EA08B5"/>
    <w:rsid w:val="41EF4D3D"/>
    <w:rsid w:val="4250579A"/>
    <w:rsid w:val="42872932"/>
    <w:rsid w:val="42B204C6"/>
    <w:rsid w:val="42EE0B0F"/>
    <w:rsid w:val="42F02098"/>
    <w:rsid w:val="43AF0693"/>
    <w:rsid w:val="43B24EF0"/>
    <w:rsid w:val="43ED455E"/>
    <w:rsid w:val="44337121"/>
    <w:rsid w:val="444C2477"/>
    <w:rsid w:val="445C4E37"/>
    <w:rsid w:val="44A377A9"/>
    <w:rsid w:val="44A65FDD"/>
    <w:rsid w:val="45016875"/>
    <w:rsid w:val="45103CBD"/>
    <w:rsid w:val="451C7579"/>
    <w:rsid w:val="453A530A"/>
    <w:rsid w:val="453B44A5"/>
    <w:rsid w:val="456A43A7"/>
    <w:rsid w:val="459D0CC6"/>
    <w:rsid w:val="45B375E6"/>
    <w:rsid w:val="45C476F1"/>
    <w:rsid w:val="45E11C4F"/>
    <w:rsid w:val="463F1EE2"/>
    <w:rsid w:val="46B52681"/>
    <w:rsid w:val="46CF48BB"/>
    <w:rsid w:val="46FD0831"/>
    <w:rsid w:val="477737C9"/>
    <w:rsid w:val="47B922BA"/>
    <w:rsid w:val="47EA630C"/>
    <w:rsid w:val="482A5950"/>
    <w:rsid w:val="485A1FDC"/>
    <w:rsid w:val="489F1C54"/>
    <w:rsid w:val="48A11DF1"/>
    <w:rsid w:val="48D92391"/>
    <w:rsid w:val="48DC07B3"/>
    <w:rsid w:val="49104A69"/>
    <w:rsid w:val="491856F9"/>
    <w:rsid w:val="492C219C"/>
    <w:rsid w:val="49607E4F"/>
    <w:rsid w:val="496D2C05"/>
    <w:rsid w:val="49F573AB"/>
    <w:rsid w:val="4A655B5A"/>
    <w:rsid w:val="4A826CD8"/>
    <w:rsid w:val="4ADA0199"/>
    <w:rsid w:val="4AE536EB"/>
    <w:rsid w:val="4B4D4ADB"/>
    <w:rsid w:val="4B8340DA"/>
    <w:rsid w:val="4B926951"/>
    <w:rsid w:val="4B9367EA"/>
    <w:rsid w:val="4BB84D48"/>
    <w:rsid w:val="4BEE199F"/>
    <w:rsid w:val="4BFB5366"/>
    <w:rsid w:val="4C0705E8"/>
    <w:rsid w:val="4C321E71"/>
    <w:rsid w:val="4C497047"/>
    <w:rsid w:val="4C574A64"/>
    <w:rsid w:val="4C5E0D5A"/>
    <w:rsid w:val="4D7D176B"/>
    <w:rsid w:val="4DA40749"/>
    <w:rsid w:val="4DC70853"/>
    <w:rsid w:val="4E0F020F"/>
    <w:rsid w:val="4E85621C"/>
    <w:rsid w:val="4EC77ECE"/>
    <w:rsid w:val="4EFB1622"/>
    <w:rsid w:val="4F265CEA"/>
    <w:rsid w:val="4F524DAE"/>
    <w:rsid w:val="4F7769ED"/>
    <w:rsid w:val="4F9427E6"/>
    <w:rsid w:val="4F9E0E2B"/>
    <w:rsid w:val="50E23A41"/>
    <w:rsid w:val="51172EEC"/>
    <w:rsid w:val="514946EA"/>
    <w:rsid w:val="51AC0B8B"/>
    <w:rsid w:val="51B45F98"/>
    <w:rsid w:val="52276047"/>
    <w:rsid w:val="524A1938"/>
    <w:rsid w:val="52CA6EA2"/>
    <w:rsid w:val="52CC0FE3"/>
    <w:rsid w:val="53385DDA"/>
    <w:rsid w:val="53734287"/>
    <w:rsid w:val="5396336E"/>
    <w:rsid w:val="547E6904"/>
    <w:rsid w:val="549438EE"/>
    <w:rsid w:val="54A94ECD"/>
    <w:rsid w:val="54FB7079"/>
    <w:rsid w:val="550F1CE0"/>
    <w:rsid w:val="55C909CB"/>
    <w:rsid w:val="55D22B6D"/>
    <w:rsid w:val="55DD2EEF"/>
    <w:rsid w:val="560D0EDF"/>
    <w:rsid w:val="5610333E"/>
    <w:rsid w:val="562260D0"/>
    <w:rsid w:val="56C675EA"/>
    <w:rsid w:val="58025B08"/>
    <w:rsid w:val="580C7901"/>
    <w:rsid w:val="583B0A46"/>
    <w:rsid w:val="58587D80"/>
    <w:rsid w:val="598A2678"/>
    <w:rsid w:val="598B0C2D"/>
    <w:rsid w:val="5A713E1B"/>
    <w:rsid w:val="5A750FF4"/>
    <w:rsid w:val="5A8552B0"/>
    <w:rsid w:val="5ACB3F81"/>
    <w:rsid w:val="5B40401E"/>
    <w:rsid w:val="5B4532FD"/>
    <w:rsid w:val="5BA64BE9"/>
    <w:rsid w:val="5BE273EE"/>
    <w:rsid w:val="5C121EBC"/>
    <w:rsid w:val="5C124EDB"/>
    <w:rsid w:val="5C1D5287"/>
    <w:rsid w:val="5C3200D6"/>
    <w:rsid w:val="5CD321F5"/>
    <w:rsid w:val="5D1549B8"/>
    <w:rsid w:val="5DD04BD2"/>
    <w:rsid w:val="5DF2741F"/>
    <w:rsid w:val="5E413D91"/>
    <w:rsid w:val="5E7F7895"/>
    <w:rsid w:val="5E92366A"/>
    <w:rsid w:val="5ED40ADE"/>
    <w:rsid w:val="5F192BC5"/>
    <w:rsid w:val="5F261328"/>
    <w:rsid w:val="5F797C86"/>
    <w:rsid w:val="5FB51E90"/>
    <w:rsid w:val="5FC058B5"/>
    <w:rsid w:val="5FEC1C75"/>
    <w:rsid w:val="607F065F"/>
    <w:rsid w:val="61A429C0"/>
    <w:rsid w:val="61B37758"/>
    <w:rsid w:val="61CC1E53"/>
    <w:rsid w:val="61DA7617"/>
    <w:rsid w:val="61EA56B3"/>
    <w:rsid w:val="62327BDE"/>
    <w:rsid w:val="623A3417"/>
    <w:rsid w:val="62B44FFF"/>
    <w:rsid w:val="62F373DE"/>
    <w:rsid w:val="631840FD"/>
    <w:rsid w:val="63222E31"/>
    <w:rsid w:val="632C6FC4"/>
    <w:rsid w:val="637C3691"/>
    <w:rsid w:val="63A47166"/>
    <w:rsid w:val="63DB3165"/>
    <w:rsid w:val="63EF7B55"/>
    <w:rsid w:val="63FD189B"/>
    <w:rsid w:val="6408062D"/>
    <w:rsid w:val="64480A16"/>
    <w:rsid w:val="6472185A"/>
    <w:rsid w:val="64731455"/>
    <w:rsid w:val="64A439A6"/>
    <w:rsid w:val="64F94FB6"/>
    <w:rsid w:val="65501C97"/>
    <w:rsid w:val="65694370"/>
    <w:rsid w:val="65800D41"/>
    <w:rsid w:val="65870591"/>
    <w:rsid w:val="659538A5"/>
    <w:rsid w:val="65A00C47"/>
    <w:rsid w:val="65A53562"/>
    <w:rsid w:val="65BE2C69"/>
    <w:rsid w:val="6611216B"/>
    <w:rsid w:val="66113DAE"/>
    <w:rsid w:val="661B3092"/>
    <w:rsid w:val="662C12FA"/>
    <w:rsid w:val="66315729"/>
    <w:rsid w:val="66887A48"/>
    <w:rsid w:val="66E35DDB"/>
    <w:rsid w:val="671059A6"/>
    <w:rsid w:val="67364DB5"/>
    <w:rsid w:val="67897F92"/>
    <w:rsid w:val="68B22800"/>
    <w:rsid w:val="68B2426B"/>
    <w:rsid w:val="68D25785"/>
    <w:rsid w:val="68D93CAA"/>
    <w:rsid w:val="68EF4B15"/>
    <w:rsid w:val="696F5C56"/>
    <w:rsid w:val="69DD483F"/>
    <w:rsid w:val="6AA865C0"/>
    <w:rsid w:val="6ABF3FDF"/>
    <w:rsid w:val="6B0542A1"/>
    <w:rsid w:val="6B391278"/>
    <w:rsid w:val="6B7D64E9"/>
    <w:rsid w:val="6BC50EB1"/>
    <w:rsid w:val="6C1B186B"/>
    <w:rsid w:val="6C47547B"/>
    <w:rsid w:val="6C5D5B58"/>
    <w:rsid w:val="6C9846B8"/>
    <w:rsid w:val="6D3677E6"/>
    <w:rsid w:val="6D7256A0"/>
    <w:rsid w:val="6DF76589"/>
    <w:rsid w:val="6E5F3C3B"/>
    <w:rsid w:val="6E68124A"/>
    <w:rsid w:val="6E9111BD"/>
    <w:rsid w:val="6EC73EAC"/>
    <w:rsid w:val="6F9873EE"/>
    <w:rsid w:val="700B7BF8"/>
    <w:rsid w:val="70311D20"/>
    <w:rsid w:val="70342CA5"/>
    <w:rsid w:val="705C6010"/>
    <w:rsid w:val="708E6837"/>
    <w:rsid w:val="70CF39EC"/>
    <w:rsid w:val="71A43E00"/>
    <w:rsid w:val="71A74D85"/>
    <w:rsid w:val="71C3429E"/>
    <w:rsid w:val="71DB6272"/>
    <w:rsid w:val="71FB4EB1"/>
    <w:rsid w:val="720A37A4"/>
    <w:rsid w:val="7246140B"/>
    <w:rsid w:val="7271224F"/>
    <w:rsid w:val="729D0FE4"/>
    <w:rsid w:val="72AF4F68"/>
    <w:rsid w:val="72C3276F"/>
    <w:rsid w:val="72F5331B"/>
    <w:rsid w:val="730F3052"/>
    <w:rsid w:val="73944C37"/>
    <w:rsid w:val="73AF2DAD"/>
    <w:rsid w:val="73DC4E36"/>
    <w:rsid w:val="741710A4"/>
    <w:rsid w:val="741E2752"/>
    <w:rsid w:val="749E3893"/>
    <w:rsid w:val="74D31A39"/>
    <w:rsid w:val="74DA13C4"/>
    <w:rsid w:val="74F60CF4"/>
    <w:rsid w:val="7507358D"/>
    <w:rsid w:val="756F513B"/>
    <w:rsid w:val="757A4BD8"/>
    <w:rsid w:val="75CC7A53"/>
    <w:rsid w:val="75D270BD"/>
    <w:rsid w:val="75D31D11"/>
    <w:rsid w:val="76224B19"/>
    <w:rsid w:val="76695ABC"/>
    <w:rsid w:val="76AC4B43"/>
    <w:rsid w:val="76CC1C0D"/>
    <w:rsid w:val="76F23FB2"/>
    <w:rsid w:val="76F73CBD"/>
    <w:rsid w:val="772B2E92"/>
    <w:rsid w:val="783172FE"/>
    <w:rsid w:val="78867FEB"/>
    <w:rsid w:val="78D12BEE"/>
    <w:rsid w:val="78DD270E"/>
    <w:rsid w:val="79652BD2"/>
    <w:rsid w:val="796F00A6"/>
    <w:rsid w:val="7972242B"/>
    <w:rsid w:val="7A1E2361"/>
    <w:rsid w:val="7A4C4C76"/>
    <w:rsid w:val="7A6354C5"/>
    <w:rsid w:val="7A687DE1"/>
    <w:rsid w:val="7A9958FD"/>
    <w:rsid w:val="7B114D77"/>
    <w:rsid w:val="7B675786"/>
    <w:rsid w:val="7BB46811"/>
    <w:rsid w:val="7BBC11CF"/>
    <w:rsid w:val="7BCB5EBF"/>
    <w:rsid w:val="7BE97626"/>
    <w:rsid w:val="7C0D7DE6"/>
    <w:rsid w:val="7CB266A1"/>
    <w:rsid w:val="7D594473"/>
    <w:rsid w:val="7D700A55"/>
    <w:rsid w:val="7D883202"/>
    <w:rsid w:val="7D8E734E"/>
    <w:rsid w:val="7DB17D32"/>
    <w:rsid w:val="7E013DC5"/>
    <w:rsid w:val="7E381D20"/>
    <w:rsid w:val="7E684CD9"/>
    <w:rsid w:val="7E892C55"/>
    <w:rsid w:val="7EBF07E5"/>
    <w:rsid w:val="7EDB3F5C"/>
    <w:rsid w:val="7EE342FA"/>
    <w:rsid w:val="7EEF2481"/>
    <w:rsid w:val="7EF50E24"/>
    <w:rsid w:val="7F0C0DFF"/>
    <w:rsid w:val="7F457BDD"/>
    <w:rsid w:val="7FE761E4"/>
    <w:rsid w:val="7FED3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link w:val="17"/>
    <w:unhideWhenUsed/>
    <w:qFormat/>
    <w:uiPriority w:val="0"/>
    <w:pPr>
      <w:ind w:firstLine="420" w:firstLineChars="200"/>
    </w:pPr>
    <w:rPr>
      <w:rFonts w:ascii="Calibri" w:hAnsi="Calibri"/>
    </w:rPr>
  </w:style>
  <w:style w:type="paragraph" w:styleId="4">
    <w:name w:val="toa heading"/>
    <w:basedOn w:val="1"/>
    <w:next w:val="1"/>
    <w:unhideWhenUsed/>
    <w:qFormat/>
    <w:uiPriority w:val="99"/>
    <w:pPr>
      <w:spacing w:before="120"/>
    </w:pPr>
    <w:rPr>
      <w:rFonts w:ascii="Cambria" w:hAnsi="Cambria" w:cs="Times New Roman"/>
      <w:sz w:val="24"/>
    </w:rPr>
  </w:style>
  <w:style w:type="paragraph" w:styleId="5">
    <w:name w:val="annotation text"/>
    <w:basedOn w:val="1"/>
    <w:link w:val="18"/>
    <w:unhideWhenUsed/>
    <w:qFormat/>
    <w:uiPriority w:val="99"/>
    <w:pPr>
      <w:jc w:val="left"/>
    </w:pPr>
  </w:style>
  <w:style w:type="paragraph" w:styleId="6">
    <w:name w:val="Body Text"/>
    <w:basedOn w:val="1"/>
    <w:link w:val="19"/>
    <w:qFormat/>
    <w:uiPriority w:val="0"/>
    <w:pPr>
      <w:spacing w:after="120"/>
    </w:p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3"/>
    <w:unhideWhenUsed/>
    <w:qFormat/>
    <w:uiPriority w:val="99"/>
    <w:rPr>
      <w:b/>
      <w:bCs/>
    </w:rPr>
  </w:style>
  <w:style w:type="table" w:styleId="13">
    <w:name w:val="Table Grid"/>
    <w:basedOn w:val="1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character" w:customStyle="1" w:styleId="17">
    <w:name w:val="正文缩进 Char"/>
    <w:link w:val="3"/>
    <w:qFormat/>
    <w:uiPriority w:val="0"/>
    <w:rPr>
      <w:rFonts w:ascii="Calibri" w:hAnsi="Calibri" w:eastAsia="宋体"/>
      <w:kern w:val="2"/>
      <w:sz w:val="21"/>
      <w:szCs w:val="24"/>
    </w:rPr>
  </w:style>
  <w:style w:type="character" w:customStyle="1" w:styleId="18">
    <w:name w:val="批注文字 Char"/>
    <w:basedOn w:val="14"/>
    <w:link w:val="5"/>
    <w:semiHidden/>
    <w:qFormat/>
    <w:uiPriority w:val="99"/>
    <w:rPr>
      <w:rFonts w:ascii="Times New Roman" w:hAnsi="Times New Roman" w:eastAsia="宋体"/>
      <w:kern w:val="2"/>
      <w:sz w:val="21"/>
      <w:szCs w:val="24"/>
    </w:rPr>
  </w:style>
  <w:style w:type="character" w:customStyle="1" w:styleId="19">
    <w:name w:val="正文文本 Char"/>
    <w:basedOn w:val="14"/>
    <w:link w:val="6"/>
    <w:qFormat/>
    <w:uiPriority w:val="0"/>
    <w:rPr>
      <w:rFonts w:ascii="Times New Roman" w:hAnsi="Times New Roman" w:eastAsia="宋体"/>
      <w:kern w:val="2"/>
      <w:sz w:val="21"/>
      <w:szCs w:val="24"/>
    </w:rPr>
  </w:style>
  <w:style w:type="character" w:customStyle="1" w:styleId="20">
    <w:name w:val="批注框文本 Char"/>
    <w:basedOn w:val="14"/>
    <w:link w:val="7"/>
    <w:semiHidden/>
    <w:qFormat/>
    <w:uiPriority w:val="99"/>
    <w:rPr>
      <w:rFonts w:ascii="Times New Roman" w:hAnsi="Times New Roman" w:eastAsia="宋体"/>
      <w:kern w:val="2"/>
      <w:sz w:val="18"/>
      <w:szCs w:val="18"/>
    </w:rPr>
  </w:style>
  <w:style w:type="character" w:customStyle="1" w:styleId="21">
    <w:name w:val="页脚 Char"/>
    <w:link w:val="8"/>
    <w:qFormat/>
    <w:uiPriority w:val="99"/>
    <w:rPr>
      <w:rFonts w:ascii="Times New Roman" w:hAnsi="Times New Roman" w:eastAsia="宋体" w:cs="Times New Roman"/>
      <w:sz w:val="18"/>
      <w:szCs w:val="18"/>
    </w:rPr>
  </w:style>
  <w:style w:type="character" w:customStyle="1" w:styleId="22">
    <w:name w:val="页眉 Char"/>
    <w:link w:val="9"/>
    <w:qFormat/>
    <w:uiPriority w:val="99"/>
    <w:rPr>
      <w:rFonts w:ascii="Times New Roman" w:hAnsi="Times New Roman" w:eastAsia="宋体" w:cs="Times New Roman"/>
      <w:sz w:val="18"/>
      <w:szCs w:val="18"/>
    </w:rPr>
  </w:style>
  <w:style w:type="character" w:customStyle="1" w:styleId="23">
    <w:name w:val="批注主题 Char"/>
    <w:basedOn w:val="18"/>
    <w:link w:val="11"/>
    <w:semiHidden/>
    <w:qFormat/>
    <w:uiPriority w:val="99"/>
    <w:rPr>
      <w:rFonts w:ascii="Times New Roman" w:hAnsi="Times New Roman" w:eastAsia="宋体"/>
      <w:b/>
      <w:bCs/>
      <w:kern w:val="2"/>
      <w:sz w:val="21"/>
      <w:szCs w:val="24"/>
    </w:rPr>
  </w:style>
  <w:style w:type="paragraph" w:customStyle="1" w:styleId="24">
    <w:name w:val="Table Paragraph"/>
    <w:basedOn w:val="1"/>
    <w:qFormat/>
    <w:uiPriority w:val="1"/>
    <w:pPr>
      <w:autoSpaceDE w:val="0"/>
      <w:autoSpaceDN w:val="0"/>
      <w:adjustRightInd w:val="0"/>
      <w:jc w:val="left"/>
    </w:pPr>
    <w:rPr>
      <w:rFonts w:ascii="宋体" w:cs="宋体"/>
      <w:kern w:val="0"/>
      <w:sz w:val="24"/>
    </w:rPr>
  </w:style>
  <w:style w:type="paragraph" w:customStyle="1" w:styleId="25">
    <w:name w:val="样式4"/>
    <w:basedOn w:val="1"/>
    <w:qFormat/>
    <w:uiPriority w:val="0"/>
    <w:pPr>
      <w:tabs>
        <w:tab w:val="left" w:pos="2328"/>
      </w:tabs>
      <w:ind w:left="2328" w:hanging="708"/>
    </w:pPr>
  </w:style>
  <w:style w:type="character" w:customStyle="1" w:styleId="26">
    <w:name w:val="font11"/>
    <w:qFormat/>
    <w:uiPriority w:val="0"/>
    <w:rPr>
      <w:rFonts w:hint="default" w:ascii="Times New Roman" w:hAnsi="Times New Roman" w:cs="Times New Roman"/>
      <w:color w:val="000000"/>
      <w:sz w:val="24"/>
      <w:szCs w:val="24"/>
      <w:u w:val="none"/>
    </w:rPr>
  </w:style>
  <w:style w:type="character" w:customStyle="1" w:styleId="27">
    <w:name w:val="font21"/>
    <w:qFormat/>
    <w:uiPriority w:val="0"/>
    <w:rPr>
      <w:rFonts w:ascii="Arial" w:hAnsi="Arial" w:cs="Arial"/>
      <w:color w:val="000000"/>
      <w:sz w:val="21"/>
      <w:szCs w:val="21"/>
      <w:u w:val="none"/>
    </w:rPr>
  </w:style>
  <w:style w:type="paragraph" w:customStyle="1" w:styleId="28">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29">
    <w:name w:val="List Paragraph"/>
    <w:basedOn w:val="1"/>
    <w:qFormat/>
    <w:uiPriority w:val="99"/>
    <w:pPr>
      <w:ind w:firstLine="420" w:firstLineChars="200"/>
    </w:pPr>
  </w:style>
  <w:style w:type="paragraph" w:customStyle="1" w:styleId="30">
    <w:name w:val="Char1"/>
    <w:basedOn w:val="1"/>
    <w:qFormat/>
    <w:uiPriority w:val="0"/>
    <w:pPr>
      <w:ind w:firstLine="480" w:firstLineChars="200"/>
    </w:pPr>
    <w:rPr>
      <w:rFonts w:eastAsia="仿宋"/>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644</Words>
  <Characters>3675</Characters>
  <Lines>30</Lines>
  <Paragraphs>8</Paragraphs>
  <TotalTime>9</TotalTime>
  <ScaleCrop>false</ScaleCrop>
  <LinksUpToDate>false</LinksUpToDate>
  <CharactersWithSpaces>4311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吴婷婷</cp:lastModifiedBy>
  <dcterms:modified xsi:type="dcterms:W3CDTF">2025-03-14T01:12:33Z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B4FEABF75ECA46F5BA44A18BD43E6353</vt:lpwstr>
  </property>
</Properties>
</file>