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东莞农村商业银</w:t>
      </w:r>
      <w:r>
        <w:rPr>
          <w:rFonts w:hint="eastAsia" w:ascii="宋体" w:hAnsi="宋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宋体" w:hAnsi="宋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移动安全管理项目</w:t>
      </w:r>
      <w:r>
        <w:rPr>
          <w:rFonts w:hint="eastAsia" w:ascii="宋体" w:hAnsi="宋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市场调研项</w:t>
      </w:r>
      <w:r>
        <w:rPr>
          <w:rFonts w:hint="eastAsia" w:ascii="宋体" w:hAnsi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目需求</w:t>
      </w:r>
    </w:p>
    <w:p>
      <w:pPr>
        <w:spacing w:line="360" w:lineRule="auto"/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一、项目信息</w:t>
      </w:r>
    </w:p>
    <w:p>
      <w:pPr>
        <w:widowControl/>
        <w:spacing w:line="360" w:lineRule="auto"/>
        <w:ind w:firstLine="420" w:firstLineChars="200"/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cs="仿宋_GB2312" w:asciiTheme="minorEastAsia" w:hAnsiTheme="minorEastAsia" w:eastAsiaTheme="minorEastAsia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东莞农村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商业银行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移动安全管理</w:t>
      </w:r>
      <w:r>
        <w:rPr>
          <w:rFonts w:hint="eastAsia" w:asciiTheme="minorEastAsia" w:hAnsiTheme="minorEastAsia" w:eastAsia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项目</w:t>
      </w:r>
    </w:p>
    <w:p>
      <w:pPr>
        <w:widowControl/>
        <w:spacing w:line="360" w:lineRule="auto"/>
        <w:ind w:firstLine="420" w:firstLineChars="200"/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：东莞农村商业银行股份有限公司</w:t>
      </w:r>
    </w:p>
    <w:p>
      <w:pPr>
        <w:widowControl/>
        <w:spacing w:line="360" w:lineRule="auto"/>
        <w:ind w:firstLine="420" w:firstLineChars="200"/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注意：本次公告属于项目市场调研需求，上述预计采购时间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和项目工期要求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只是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根据自身计划所作估计，并不代表后续任何实质性承诺；另外，本次项目需求调研，属于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对外寻找相关符合要求的供应商进行交流的意向，并不代表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对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参与调研的供应商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的任何承诺，后续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将根据自身计划进行项目采购。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参与调研的供应商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或后续参与交流的供应商并不代表已获得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的认可或获得任何参与后续项目投标、合同方面的承诺。本次项目调研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将根据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参与调研的供应商</w:t>
      </w: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提交的资料情况，择优选择供应商进行现场或线上交流。</w:t>
      </w:r>
    </w:p>
    <w:p>
      <w:pPr>
        <w:spacing w:line="360" w:lineRule="auto"/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项目背景</w:t>
      </w:r>
    </w:p>
    <w:p>
      <w:pPr>
        <w:widowControl/>
        <w:spacing w:line="360" w:lineRule="auto"/>
        <w:ind w:firstLine="420" w:firstLineChars="200"/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2"/>
      <w:bookmarkStart w:id="1" w:name="OLE_LINK1"/>
      <w:r>
        <w:rPr>
          <w:color w:val="000000" w:themeColor="text1"/>
          <w14:textFill>
            <w14:solidFill>
              <w14:schemeClr w14:val="tx1"/>
            </w14:solidFill>
          </w14:textFill>
        </w:rPr>
        <w:t>随着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东莞农村商业银行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数字化转型加速，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银行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移动端业务蓬勃发展，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为了更好的推动全行管理及营销效率</w:t>
      </w:r>
      <w:bookmarkStart w:id="2" w:name="_GoBack"/>
      <w:bookmarkEnd w:id="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提升，推出了对应的移动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门户和移动柜面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APP。移动业务开展使用的行内配发设备或员工自有设备，为了更安全、高效的发展移动管理及营销相关业务，同时提升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银行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在同业市场中的竞争力，需结合目前监管及互联网信息安全风险的变化而变化。通过构建安全的移动办公运行环境，一方面在满足监管要求的前提下开展移动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办公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及营销业务，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为客户提供了便捷的服务体验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另一方面通过系统建设确保在开展移动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办公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及营销业务的信息、数据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网络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安全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保障我行的系统安全和业务稳定。</w:t>
      </w:r>
    </w:p>
    <w:bookmarkEnd w:id="0"/>
    <w:bookmarkEnd w:id="1"/>
    <w:p>
      <w:pPr>
        <w:spacing w:line="360" w:lineRule="auto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三</w:t>
      </w:r>
      <w: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内容</w:t>
      </w:r>
    </w:p>
    <w:p>
      <w:pPr>
        <w:widowControl/>
        <w:spacing w:line="360" w:lineRule="auto"/>
        <w:ind w:firstLine="420" w:firstLineChars="200"/>
        <w:rPr>
          <w:rFonts w:hint="default" w:cs="仿宋_GB2312" w:asciiTheme="minorEastAsia" w:hAnsiTheme="minorEastAsia" w:eastAsiaTheme="minorEastAsia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项项目内容为东莞农村商业银行打造全方位、多层次的移动安全防护，确保移动设备在便捷办公的同埋，企业数据与业务安全不受威胁。项目核心内容涵盖设备安全管控、数据安全保护、应用安全管理三维度，力求实现设备的精准监管、数据的严密防护与应用的合规运行。项目应包含移动设备管理平台、移动设备客户端、移动设备准入网关等软硬件相关</w:t>
      </w:r>
    </w:p>
    <w:p>
      <w:pPr>
        <w:widowControl/>
        <w:spacing w:line="360" w:lineRule="auto"/>
        <w:rPr>
          <w:rFonts w:hint="default" w:cs="仿宋_GB2312" w:asciiTheme="minorEastAsia" w:hAnsiTheme="minorEastAsia" w:eastAsiaTheme="minorEastAsia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配套，通过项目将为东莞农村商业银行打造一个安全、高效、可控的移动办公环境，助力银行在数字化转型的道路上稳健前行，实现业务的持续发展。</w:t>
      </w:r>
    </w:p>
    <w:p>
      <w:pPr>
        <w:spacing w:line="360" w:lineRule="auto"/>
        <w:rPr>
          <w:rFonts w:cs="楷体_GB2312" w:asciiTheme="minorEastAsia" w:hAnsiTheme="minorEastAsia" w:eastAsiaTheme="minorEastAsia"/>
          <w:b/>
          <w:bCs/>
          <w:color w:val="000000" w:themeColor="text1"/>
          <w:kern w:val="28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项目总体服务要求</w:t>
      </w:r>
    </w:p>
    <w:p>
      <w:pPr>
        <w:widowControl/>
        <w:spacing w:line="360" w:lineRule="auto"/>
        <w:ind w:firstLine="420" w:firstLineChars="200"/>
        <w:rPr>
          <w:rFonts w:hint="default" w:cs="仿宋_GB2312" w:asciiTheme="minorEastAsia" w:hAnsiTheme="minorEastAsia" w:eastAsiaTheme="minorEastAsia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（一）专用设备管控</w:t>
      </w:r>
    </w:p>
    <w:p>
      <w:pPr>
        <w:widowControl/>
        <w:spacing w:line="360" w:lineRule="auto"/>
        <w:ind w:firstLine="4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针对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我行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配发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移动设备，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构建一套行内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移动设备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统一管理平台，实现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配发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移动设备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APP安全运行、设备资产管理、设备功能管理、安全合规使用、应用管理、数据安全、远程运维等管理需求。具体如下：</w:t>
      </w:r>
    </w:p>
    <w:p>
      <w:pPr>
        <w:widowControl/>
        <w:numPr>
          <w:ilvl w:val="0"/>
          <w:numId w:val="1"/>
        </w:numPr>
        <w:spacing w:line="360" w:lineRule="auto"/>
        <w:ind w:firstLine="422" w:firstLineChars="200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资产管理：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行内统一配发的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，自动获取设备资产信息，</w:t>
      </w:r>
      <w:r>
        <w:rPr>
          <w:rFonts w:hint="eastAsia" w:ascii="宋体" w:hAnsi="宋体" w:cs="宋体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包括设备名称</w:t>
      </w:r>
      <w:r>
        <w:rPr>
          <w:rFonts w:hint="default" w:ascii="宋体" w:hAnsi="宋体" w:cs="宋体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设备型号</w:t>
      </w:r>
      <w:r>
        <w:rPr>
          <w:rFonts w:hint="default" w:ascii="宋体" w:hAnsi="宋体" w:cs="宋体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序列号</w:t>
      </w:r>
      <w:r>
        <w:rPr>
          <w:rFonts w:hint="default" w:ascii="宋体" w:hAnsi="宋体" w:cs="宋体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MAC地址</w:t>
      </w:r>
      <w:r>
        <w:rPr>
          <w:rFonts w:hint="default" w:ascii="宋体" w:hAnsi="宋体" w:cs="宋体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ICCID扽设备信息</w:t>
      </w:r>
      <w:r>
        <w:rPr>
          <w:rFonts w:hint="default" w:ascii="宋体" w:hAnsi="宋体" w:cs="宋体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对设备在线使用状态进行查看，实现专机专用需求。</w:t>
      </w:r>
    </w:p>
    <w:p>
      <w:pPr>
        <w:widowControl/>
        <w:numPr>
          <w:ilvl w:val="0"/>
          <w:numId w:val="1"/>
        </w:numPr>
        <w:spacing w:line="360" w:lineRule="auto"/>
        <w:ind w:firstLine="422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合规使用：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规范管理行内员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使用移动设备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未经授权不得使用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超级管理员权限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预防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病毒木马入侵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防止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隐私泄露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保障系统稳定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只能使用授权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wifi网络，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系统更新，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支持按行业要求对移动设备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行为进行标准化、合规性管理。</w:t>
      </w:r>
    </w:p>
    <w:p>
      <w:pPr>
        <w:widowControl/>
        <w:numPr>
          <w:ilvl w:val="0"/>
          <w:numId w:val="1"/>
        </w:numPr>
        <w:spacing w:line="360" w:lineRule="auto"/>
        <w:ind w:firstLine="422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远程运维：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移动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设备绑定使用，远程定位，远程运维控制，远程命令调试，远程文档传送，设备丢失时可以远程锁定或远程数据擦除。</w:t>
      </w:r>
    </w:p>
    <w:p>
      <w:pPr>
        <w:widowControl/>
        <w:spacing w:line="360" w:lineRule="auto"/>
        <w:ind w:firstLine="420" w:firstLineChars="200"/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数据安全</w:t>
      </w:r>
    </w:p>
    <w:p>
      <w:pPr>
        <w:widowControl/>
        <w:spacing w:line="360" w:lineRule="auto"/>
        <w:ind w:firstLine="4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移动设备</w:t>
      </w:r>
      <w:r>
        <w:rPr>
          <w:rFonts w:hint="eastAsia" w:ascii="宋体" w:hAnsi="宋体" w:cs="宋体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APP的数据进行加密存储，防止本地存储数据因明文存储，被第三方应用获取，导致行内客户信息泄密。</w:t>
      </w:r>
    </w:p>
    <w:p>
      <w:pPr>
        <w:widowControl/>
        <w:spacing w:line="360" w:lineRule="auto"/>
        <w:ind w:firstLine="420" w:firstLineChars="200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2.加密保护传输，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建设基于“零信任”架构的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移动数据安全传输机制，实现对移动应用进行安全接入保护，防止数据网络传输被不法监听、截获、破解等导致数据泄露风险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三）应用管理</w:t>
      </w:r>
    </w:p>
    <w:p>
      <w:pPr>
        <w:widowControl/>
        <w:spacing w:line="360" w:lineRule="auto"/>
        <w:ind w:firstLine="420" w:firstLineChars="200"/>
        <w:rPr>
          <w:rFonts w:hint="eastAsia" w:cs="仿宋_GB2312" w:asciiTheme="minorEastAsia" w:hAnsiTheme="minorEastAsia" w:eastAsiaTheme="minorEastAsia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移动设备A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pp及其他营销、办公相关应用，可以推送、绑定使用，同时可以统一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管控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APP的安装及使用权限，防止无关应用的安装运行。</w:t>
      </w:r>
    </w:p>
    <w:p>
      <w:pPr>
        <w:spacing w:line="360" w:lineRule="auto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五、供应商要求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hint="default" w:cs="仿宋_GB2312" w:asciiTheme="minorEastAsia" w:hAnsiTheme="minorEastAsia" w:eastAsiaTheme="minorEastAsia"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商具备独立法人资格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）供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应商必须产品与服务原供应商，不接受分包及转包供应商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三) 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供应商应具有至少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个案例,要求为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从202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年1月1日起至今在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全国性银行总行或省级分支机构、省级（或直辖市）农村信用社（或省级（或直辖市）农商银行）、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地级市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城商行、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地级市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农商行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的案例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在反馈《市场调研记录表》时应提供相关合同复印件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加盖供应商公章。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）技术团队要求，供应商需组建项目服务团队，人数不少于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人，至少包含一名项目经理，一名商务代表、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名以上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技术人员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，项目团队要保持相对的稳定性。</w:t>
      </w:r>
    </w:p>
    <w:p>
      <w:pPr>
        <w:tabs>
          <w:tab w:val="left" w:pos="0"/>
        </w:tabs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上述相关证明材料在递交反馈《东莞农村商业银行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移动安全管理项目</w:t>
      </w:r>
      <w:r>
        <w:rPr>
          <w:rFonts w:hint="eastAsia"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市场调研记录表》时应提供上述相关证明材料的复印件加盖供应商公章的扫描件。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E2D490"/>
    <w:multiLevelType w:val="singleLevel"/>
    <w:tmpl w:val="CAE2D4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zhiYjdjNWZiNjIyMWVlN2E1ZGY4OTMwNThkZjAifQ=="/>
  </w:docVars>
  <w:rsids>
    <w:rsidRoot w:val="00000000"/>
    <w:rsid w:val="06A3413B"/>
    <w:rsid w:val="08D72710"/>
    <w:rsid w:val="0C073CF7"/>
    <w:rsid w:val="104A6E1F"/>
    <w:rsid w:val="107839F0"/>
    <w:rsid w:val="10A91720"/>
    <w:rsid w:val="1D8E4CCE"/>
    <w:rsid w:val="1ED65DE0"/>
    <w:rsid w:val="209253C5"/>
    <w:rsid w:val="28D67EB9"/>
    <w:rsid w:val="2D2172E6"/>
    <w:rsid w:val="2F8B0298"/>
    <w:rsid w:val="312C413F"/>
    <w:rsid w:val="3D294E54"/>
    <w:rsid w:val="3EED2F6E"/>
    <w:rsid w:val="41985959"/>
    <w:rsid w:val="419F237D"/>
    <w:rsid w:val="452E12C8"/>
    <w:rsid w:val="45A07ABA"/>
    <w:rsid w:val="4CAE384C"/>
    <w:rsid w:val="4CD60E1C"/>
    <w:rsid w:val="5539639A"/>
    <w:rsid w:val="5B6A567B"/>
    <w:rsid w:val="5CE029A0"/>
    <w:rsid w:val="5DFF178B"/>
    <w:rsid w:val="5F2B74D5"/>
    <w:rsid w:val="62D244CC"/>
    <w:rsid w:val="67196B52"/>
    <w:rsid w:val="6F314852"/>
    <w:rsid w:val="725E64F2"/>
    <w:rsid w:val="731B49EE"/>
    <w:rsid w:val="75422E0D"/>
    <w:rsid w:val="781B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ind w:left="180"/>
      <w:textAlignment w:val="baseline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cl"/>
    <w:basedOn w:val="1"/>
    <w:qFormat/>
    <w:uiPriority w:val="0"/>
    <w:pPr>
      <w:snapToGrid w:val="0"/>
      <w:spacing w:line="360" w:lineRule="auto"/>
      <w:ind w:firstLine="600" w:firstLineChars="200"/>
    </w:pPr>
    <w:rPr>
      <w:rFonts w:ascii="Tahoma" w:hAnsi="Tahoma" w:eastAsia="仿宋_GB2312" w:cs="宋体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2023-09-28T09:08:00Z</dcterms:created>
  <dc:creator>id001324</dc:creator>
  <cp:lastModifiedBy>Xing</cp:lastModifiedBy>
  <dcterms:modified xsi:type="dcterms:W3CDTF">2025-01-21T07:27:32Z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84158CF644D84D58B459E992AA2A9BA0_13</vt:lpwstr>
  </property>
</Properties>
</file>