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东莞农村商业银行数据中心硬件设备采购项目市场调研项目需求</w:t>
      </w: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一、项目信息</w:t>
      </w:r>
    </w:p>
    <w:p>
      <w:pPr>
        <w:widowControl/>
        <w:spacing w:line="360" w:lineRule="auto"/>
        <w:ind w:firstLine="420" w:firstLineChars="200"/>
        <w:rPr>
          <w:rFonts w:cs="仿宋_GB2312" w:asciiTheme="minorEastAsia" w:hAnsiTheme="minorEastAsia" w:eastAsiaTheme="minorEastAsia"/>
          <w:bCs/>
          <w:szCs w:val="21"/>
        </w:rPr>
      </w:pPr>
      <w:r>
        <w:rPr>
          <w:rFonts w:cs="仿宋_GB2312" w:asciiTheme="minorEastAsia" w:hAnsiTheme="minorEastAsia" w:eastAsiaTheme="minorEastAsia"/>
          <w:bCs/>
          <w:szCs w:val="21"/>
        </w:rPr>
        <w:t>项目名称：</w:t>
      </w:r>
      <w:r>
        <w:rPr>
          <w:rFonts w:hint="eastAsia" w:cs="仿宋_GB2312" w:asciiTheme="minorEastAsia" w:hAnsiTheme="minorEastAsia" w:eastAsiaTheme="minorEastAsia"/>
          <w:bCs/>
          <w:szCs w:val="21"/>
        </w:rPr>
        <w:t>东莞农村商业银行数据中心硬件设备采购项目</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采购人：东莞农村商业银行股份有限公司</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维保服务期：本次采购的项目</w:t>
      </w:r>
      <w:r>
        <w:rPr>
          <w:rStyle w:val="17"/>
          <w:rFonts w:hint="eastAsia"/>
        </w:rPr>
        <w:t>带</w:t>
      </w:r>
      <w:r>
        <w:rPr>
          <w:rFonts w:hint="eastAsia" w:cs="仿宋_GB2312" w:asciiTheme="minorEastAsia" w:hAnsiTheme="minorEastAsia" w:eastAsiaTheme="minorEastAsia"/>
          <w:bCs/>
          <w:szCs w:val="21"/>
        </w:rPr>
        <w:t>五年（含第五年所在年份的整年，即维保至第五年所在年份的12月31日）的原厂（整机及配件）保修和服务，以原厂服务承诺函为准。</w:t>
      </w:r>
    </w:p>
    <w:p>
      <w:pPr>
        <w:spacing w:line="360" w:lineRule="auto"/>
        <w:rPr>
          <w:rFonts w:ascii="宋体" w:hAnsi="宋体"/>
          <w:b/>
          <w:szCs w:val="21"/>
        </w:rPr>
      </w:pPr>
      <w:r>
        <w:rPr>
          <w:rFonts w:hint="eastAsia" w:ascii="宋体" w:hAnsi="宋体"/>
          <w:b/>
          <w:szCs w:val="21"/>
        </w:rPr>
        <w:t>二</w:t>
      </w:r>
      <w:r>
        <w:rPr>
          <w:rFonts w:ascii="宋体" w:hAnsi="宋体"/>
          <w:b/>
          <w:szCs w:val="21"/>
        </w:rPr>
        <w:t>、</w:t>
      </w:r>
      <w:r>
        <w:rPr>
          <w:rFonts w:hint="eastAsia" w:ascii="宋体" w:hAnsi="宋体"/>
          <w:b/>
          <w:szCs w:val="21"/>
        </w:rPr>
        <w:t>项目背景</w:t>
      </w:r>
    </w:p>
    <w:p>
      <w:pPr>
        <w:spacing w:line="360" w:lineRule="auto"/>
        <w:ind w:firstLine="420" w:firstLineChars="200"/>
        <w:rPr>
          <w:rFonts w:ascii="宋体" w:hAnsi="宋体" w:cs="宋体"/>
          <w:szCs w:val="21"/>
        </w:rPr>
      </w:pPr>
      <w:r>
        <w:rPr>
          <w:rFonts w:hint="eastAsia" w:ascii="宋体" w:hAnsi="宋体" w:cs="宋体"/>
          <w:szCs w:val="21"/>
        </w:rPr>
        <w:t>数据中心的服务器、存储及其配件等设备是支持信息系统运行和业务发展的基础设施，按照设备管理的生命周期和业务发展趋势，数据中心老旧设备升级替换和容量扩容是数据中心运维管理的一项重要的常规性工作，为满足老旧设备升级替换、新核心系统项目建设和存量系统扩容等的IT需求，我行数据中心需采购一批服务器及存储，现开展服务器硬件采购项目</w:t>
      </w:r>
      <w:r>
        <w:rPr>
          <w:rFonts w:hint="eastAsia" w:ascii="宋体" w:hAnsi="宋体"/>
          <w:szCs w:val="21"/>
        </w:rPr>
        <w:t>市场调研，欢迎愿意参加本项目市场调研的潜在供应商（本次项目需求的供应商指产品制造商），提供市场调研资料</w:t>
      </w:r>
      <w:r>
        <w:rPr>
          <w:rFonts w:hint="eastAsia" w:ascii="宋体" w:hAnsi="宋体" w:cs="宋体"/>
          <w:szCs w:val="21"/>
        </w:rPr>
        <w:t>。</w:t>
      </w:r>
    </w:p>
    <w:p>
      <w:pPr>
        <w:spacing w:line="360" w:lineRule="auto"/>
        <w:rPr>
          <w:rFonts w:ascii="宋体" w:hAnsi="宋体"/>
          <w:b/>
          <w:bCs/>
          <w:szCs w:val="21"/>
        </w:rPr>
      </w:pPr>
      <w:r>
        <w:rPr>
          <w:rFonts w:hint="eastAsia" w:ascii="宋体" w:hAnsi="宋体"/>
          <w:b/>
          <w:szCs w:val="21"/>
        </w:rPr>
        <w:t>三</w:t>
      </w:r>
      <w:r>
        <w:rPr>
          <w:rFonts w:ascii="宋体" w:hAnsi="宋体"/>
          <w:b/>
          <w:szCs w:val="21"/>
        </w:rPr>
        <w:t>、</w:t>
      </w:r>
      <w:r>
        <w:rPr>
          <w:rFonts w:hint="eastAsia" w:ascii="宋体" w:hAnsi="宋体"/>
          <w:b/>
          <w:bCs/>
          <w:szCs w:val="21"/>
        </w:rPr>
        <w:t>采购内容</w:t>
      </w:r>
    </w:p>
    <w:p>
      <w:pPr>
        <w:spacing w:line="360" w:lineRule="auto"/>
        <w:ind w:firstLine="420" w:firstLineChars="200"/>
        <w:rPr>
          <w:rFonts w:ascii="宋体" w:hAnsi="宋体" w:cs="宋体"/>
          <w:szCs w:val="21"/>
        </w:rPr>
      </w:pPr>
      <w:r>
        <w:rPr>
          <w:rFonts w:hint="eastAsia" w:ascii="宋体" w:hAnsi="宋体" w:cs="宋体"/>
          <w:szCs w:val="21"/>
        </w:rPr>
        <w:t>本次项目公开征集主要用于两方面：一是2023年数据中心基础软硬件，主要用于老旧设备升级替换和资源池搭建；二是新核心系统项目基础软硬件，主要用于新核心系统项目群生产、开发、测试环境硬件部署。本次项目市场调研是对硬件产品进行选型，具体要求如下：</w:t>
      </w:r>
    </w:p>
    <w:p>
      <w:pPr>
        <w:spacing w:line="360" w:lineRule="auto"/>
        <w:ind w:firstLine="420" w:firstLineChars="200"/>
        <w:rPr>
          <w:rFonts w:ascii="宋体" w:hAnsi="宋体" w:cs="宋体"/>
          <w:szCs w:val="21"/>
        </w:rPr>
      </w:pPr>
      <w:r>
        <w:rPr>
          <w:rFonts w:hint="eastAsia" w:ascii="宋体" w:hAnsi="宋体" w:cs="宋体"/>
          <w:szCs w:val="21"/>
        </w:rPr>
        <w:t>1、此次采购的数据中心硬件设备选型，需根据现有市场的技术方向，保证选型的硬件设备在未来5年具有延续性。选型的硬件设备需给出重要配件的可选配件清单以及配件重要技术参数（CPU、内存、硬盘、RAID卡、HBA卡、网卡等）。</w:t>
      </w:r>
    </w:p>
    <w:p>
      <w:pPr>
        <w:spacing w:line="360" w:lineRule="auto"/>
        <w:ind w:firstLine="420" w:firstLineChars="200"/>
        <w:rPr>
          <w:rFonts w:ascii="宋体" w:hAnsi="宋体" w:cs="宋体"/>
          <w:szCs w:val="21"/>
        </w:rPr>
      </w:pPr>
      <w:r>
        <w:rPr>
          <w:rFonts w:hint="eastAsia" w:ascii="宋体" w:hAnsi="宋体" w:cs="宋体"/>
          <w:szCs w:val="21"/>
        </w:rPr>
        <w:t>2、选型根据CPU架构分为3种（X86、C86、ARM），每一种架构分别提供三个档次的重要硬件设备配置作为基础模板，并提供可选配件的清单，可适配我行的大部分需求场景使用，如：计算节点、数据库节点、应用节点、存储节点等场景。</w:t>
      </w:r>
    </w:p>
    <w:p>
      <w:pPr>
        <w:spacing w:line="360" w:lineRule="auto"/>
        <w:ind w:firstLine="420" w:firstLineChars="200"/>
        <w:rPr>
          <w:rFonts w:ascii="宋体" w:hAnsi="宋体" w:cs="宋体"/>
          <w:szCs w:val="21"/>
        </w:rPr>
      </w:pPr>
      <w:r>
        <w:rPr>
          <w:rFonts w:hint="eastAsia" w:ascii="宋体" w:hAnsi="宋体" w:cs="宋体"/>
          <w:szCs w:val="21"/>
        </w:rPr>
        <w:t>3、服务器硬件设备分类（A、B、C包）：产品制造商提供不同的机型的配置和配件，具体如下：</w:t>
      </w:r>
    </w:p>
    <w:p>
      <w:pPr>
        <w:spacing w:line="360" w:lineRule="auto"/>
        <w:ind w:firstLine="420" w:firstLineChars="200"/>
        <w:rPr>
          <w:rFonts w:ascii="宋体" w:hAnsi="宋体" w:cs="宋体"/>
          <w:szCs w:val="21"/>
        </w:rPr>
      </w:pPr>
      <w:r>
        <w:rPr>
          <w:rFonts w:hint="eastAsia" w:ascii="宋体" w:hAnsi="宋体" w:cs="宋体"/>
          <w:szCs w:val="21"/>
        </w:rPr>
        <w:t>A包：基于X86架构的三种基本配置服务器：X86高配基础模板服务器、X86中配基础模板服务器、X86低配基础模板服务器。</w:t>
      </w:r>
    </w:p>
    <w:p>
      <w:pPr>
        <w:spacing w:line="360" w:lineRule="auto"/>
        <w:ind w:firstLine="420" w:firstLineChars="200"/>
        <w:rPr>
          <w:rFonts w:ascii="宋体" w:hAnsi="宋体" w:cs="宋体"/>
          <w:szCs w:val="21"/>
        </w:rPr>
      </w:pPr>
      <w:r>
        <w:rPr>
          <w:rFonts w:hint="eastAsia" w:ascii="宋体" w:hAnsi="宋体" w:cs="宋体"/>
          <w:szCs w:val="21"/>
        </w:rPr>
        <w:t>B包：基于C86架构的三种基本配置服务器：C86高配基础模板服务器、C86中配基础模板服务器、C86低配基础模板服务器。</w:t>
      </w:r>
    </w:p>
    <w:p>
      <w:pPr>
        <w:spacing w:line="360" w:lineRule="auto"/>
        <w:ind w:firstLine="420" w:firstLineChars="200"/>
      </w:pPr>
      <w:r>
        <w:rPr>
          <w:rFonts w:hint="eastAsia" w:ascii="宋体" w:hAnsi="宋体" w:cs="宋体"/>
          <w:szCs w:val="21"/>
        </w:rPr>
        <w:t>C包：基于ARM架构的三种基本配置服务器：ARM高配基础模板服务器、ARM中配基础模板服务器、ARM低配基础模板服务器。</w:t>
      </w:r>
      <w:bookmarkStart w:id="0" w:name="_Toc27207"/>
      <w:bookmarkStart w:id="1" w:name="_Toc12982"/>
      <w:bookmarkStart w:id="2" w:name="_Toc20338"/>
      <w:bookmarkStart w:id="3" w:name="_Toc403"/>
    </w:p>
    <w:bookmarkEnd w:id="0"/>
    <w:bookmarkEnd w:id="1"/>
    <w:bookmarkEnd w:id="2"/>
    <w:bookmarkEnd w:id="3"/>
    <w:p>
      <w:pPr>
        <w:spacing w:line="360" w:lineRule="auto"/>
        <w:ind w:firstLine="420" w:firstLineChars="200"/>
        <w:rPr>
          <w:rFonts w:ascii="宋体" w:hAnsi="宋体" w:cs="宋体"/>
          <w:szCs w:val="21"/>
          <w:highlight w:val="none"/>
        </w:rPr>
      </w:pPr>
      <w:r>
        <w:rPr>
          <w:rFonts w:hint="eastAsia" w:ascii="宋体" w:hAnsi="宋体" w:cs="宋体"/>
          <w:szCs w:val="21"/>
        </w:rPr>
        <w:t>（1）服务器硬件设</w:t>
      </w:r>
      <w:bookmarkStart w:id="4" w:name="_GoBack"/>
      <w:bookmarkEnd w:id="4"/>
      <w:r>
        <w:rPr>
          <w:rFonts w:hint="eastAsia" w:ascii="宋体" w:hAnsi="宋体" w:cs="宋体"/>
          <w:szCs w:val="21"/>
        </w:rPr>
        <w:t>备配置分类（由</w:t>
      </w:r>
      <w:r>
        <w:rPr>
          <w:rFonts w:hint="eastAsia" w:ascii="宋体" w:hAnsi="宋体" w:cs="宋体"/>
          <w:szCs w:val="21"/>
          <w:highlight w:val="none"/>
        </w:rPr>
        <w:t>供应商参照银行业供货案例的应用场景提供，作为基础模板服务器配置）</w:t>
      </w:r>
    </w:p>
    <w:tbl>
      <w:tblPr>
        <w:tblStyle w:val="13"/>
        <w:tblW w:w="8251" w:type="dxa"/>
        <w:jc w:val="center"/>
        <w:tblLayout w:type="fixed"/>
        <w:tblCellMar>
          <w:top w:w="0" w:type="dxa"/>
          <w:left w:w="108" w:type="dxa"/>
          <w:bottom w:w="0" w:type="dxa"/>
          <w:right w:w="108" w:type="dxa"/>
        </w:tblCellMar>
      </w:tblPr>
      <w:tblGrid>
        <w:gridCol w:w="1639"/>
        <w:gridCol w:w="2115"/>
        <w:gridCol w:w="2190"/>
        <w:gridCol w:w="2307"/>
      </w:tblGrid>
      <w:tr>
        <w:tblPrEx>
          <w:tblCellMar>
            <w:top w:w="0" w:type="dxa"/>
            <w:left w:w="108" w:type="dxa"/>
            <w:bottom w:w="0" w:type="dxa"/>
            <w:right w:w="108" w:type="dxa"/>
          </w:tblCellMar>
        </w:tblPrEx>
        <w:trPr>
          <w:trHeight w:val="48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分类</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X86/C86/ARM高配基础模板服务器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X86/C86/ARM中配基础模板服务器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X86/C86/ARM低配基础模板服务器</w:t>
            </w:r>
          </w:p>
        </w:tc>
      </w:tr>
      <w:tr>
        <w:tblPrEx>
          <w:tblCellMar>
            <w:top w:w="0" w:type="dxa"/>
            <w:left w:w="108" w:type="dxa"/>
            <w:bottom w:w="0" w:type="dxa"/>
            <w:right w:w="108" w:type="dxa"/>
          </w:tblCellMar>
        </w:tblPrEx>
        <w:trPr>
          <w:trHeight w:val="62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CPU</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647"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内存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71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系统盘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635"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RAID卡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725"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万兆网口</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625"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千兆网口</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572"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HBA卡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（可选）</w:t>
            </w:r>
          </w:p>
        </w:tc>
      </w:tr>
      <w:tr>
        <w:tblPrEx>
          <w:tblCellMar>
            <w:top w:w="0" w:type="dxa"/>
            <w:left w:w="108" w:type="dxa"/>
            <w:bottom w:w="0" w:type="dxa"/>
            <w:right w:w="108" w:type="dxa"/>
          </w:tblCellMar>
        </w:tblPrEx>
        <w:trPr>
          <w:trHeight w:val="56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数据盘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（可选）</w:t>
            </w:r>
          </w:p>
        </w:tc>
      </w:tr>
      <w:tr>
        <w:tblPrEx>
          <w:tblCellMar>
            <w:top w:w="0" w:type="dxa"/>
            <w:left w:w="108" w:type="dxa"/>
            <w:bottom w:w="0" w:type="dxa"/>
            <w:right w:w="108" w:type="dxa"/>
          </w:tblCellMar>
        </w:tblPrEx>
        <w:trPr>
          <w:trHeight w:val="51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bl>
    <w:p>
      <w:pPr>
        <w:pStyle w:val="2"/>
        <w:rPr>
          <w:rFonts w:ascii="宋体" w:hAnsi="宋体" w:cs="宋体"/>
          <w:szCs w:val="21"/>
        </w:rPr>
      </w:pPr>
    </w:p>
    <w:p>
      <w:pPr>
        <w:pStyle w:val="2"/>
        <w:rPr>
          <w:rFonts w:ascii="宋体" w:hAnsi="宋体" w:cs="宋体"/>
          <w:szCs w:val="21"/>
        </w:rPr>
      </w:pPr>
      <w:r>
        <w:rPr>
          <w:rFonts w:hint="eastAsia" w:ascii="宋体" w:hAnsi="宋体" w:cs="宋体"/>
          <w:szCs w:val="21"/>
        </w:rPr>
        <w:t>（2）可选配件清单（由供应商提供，可与</w:t>
      </w:r>
      <w:r>
        <w:rPr>
          <w:rFonts w:hint="eastAsia" w:asciiTheme="minorEastAsia" w:hAnsiTheme="minorEastAsia" w:eastAsiaTheme="minorEastAsia"/>
          <w:bCs/>
          <w:szCs w:val="21"/>
        </w:rPr>
        <w:t>基础模板服务器配置进行选择增减配，形成最终的</w:t>
      </w:r>
      <w:r>
        <w:rPr>
          <w:rFonts w:hint="eastAsia" w:ascii="宋体" w:hAnsi="宋体" w:cs="宋体"/>
          <w:szCs w:val="21"/>
        </w:rPr>
        <w:t>服务器配置</w:t>
      </w:r>
      <w:r>
        <w:rPr>
          <w:rFonts w:hint="eastAsia" w:asciiTheme="minorEastAsia" w:hAnsiTheme="minorEastAsia" w:eastAsiaTheme="minorEastAsia"/>
          <w:bCs/>
          <w:szCs w:val="21"/>
        </w:rPr>
        <w:t>。</w:t>
      </w:r>
      <w:r>
        <w:rPr>
          <w:rFonts w:hint="eastAsia" w:ascii="宋体" w:hAnsi="宋体" w:cs="宋体"/>
          <w:szCs w:val="21"/>
        </w:rPr>
        <w:t>）</w:t>
      </w:r>
    </w:p>
    <w:tbl>
      <w:tblPr>
        <w:tblStyle w:val="13"/>
        <w:tblW w:w="4656" w:type="pct"/>
        <w:tblInd w:w="682" w:type="dxa"/>
        <w:tblLayout w:type="autofit"/>
        <w:tblCellMar>
          <w:top w:w="0" w:type="dxa"/>
          <w:left w:w="108" w:type="dxa"/>
          <w:bottom w:w="0" w:type="dxa"/>
          <w:right w:w="108" w:type="dxa"/>
        </w:tblCellMar>
      </w:tblPr>
      <w:tblGrid>
        <w:gridCol w:w="733"/>
        <w:gridCol w:w="636"/>
        <w:gridCol w:w="2753"/>
        <w:gridCol w:w="2866"/>
        <w:gridCol w:w="2294"/>
      </w:tblGrid>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类型</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分类</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重点技术要求</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CPU</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X86 CPU</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C86 CPU</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ARM CPU</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内存</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内存</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4</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SATA SSD</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SATA SSD</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NVMe SSD</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NVMe SSD</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SAS HDD</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SAS HDD1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SATA HDD</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SATA HDD</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网卡</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网卡</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SAS直通卡</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SAS直通卡</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RAID卡</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RAID卡</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HBA卡</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HBA卡</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7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 w:val="20"/>
                <w:szCs w:val="20"/>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rPr>
            </w:pPr>
          </w:p>
        </w:tc>
      </w:tr>
    </w:tbl>
    <w:p>
      <w:pPr>
        <w:pStyle w:val="2"/>
        <w:rPr>
          <w:rFonts w:asciiTheme="minorEastAsia" w:hAnsiTheme="minorEastAsia" w:eastAsiaTheme="minorEastAsia"/>
          <w:bCs/>
          <w:szCs w:val="21"/>
        </w:rPr>
      </w:pPr>
    </w:p>
    <w:p>
      <w:pPr>
        <w:spacing w:line="360" w:lineRule="auto"/>
        <w:ind w:firstLine="420" w:firstLineChars="200"/>
        <w:rPr>
          <w:rFonts w:ascii="宋体" w:hAnsi="宋体" w:cs="宋体"/>
          <w:szCs w:val="21"/>
        </w:rPr>
      </w:pPr>
      <w:r>
        <w:rPr>
          <w:rFonts w:hint="eastAsia" w:ascii="宋体" w:hAnsi="宋体" w:cs="宋体"/>
          <w:szCs w:val="21"/>
        </w:rPr>
        <w:t>4、集中式存储硬件设备（D包）：产品制造商提供不同的配置，具体要求如下：</w:t>
      </w:r>
    </w:p>
    <w:p>
      <w:pPr>
        <w:spacing w:line="360" w:lineRule="auto"/>
        <w:ind w:firstLine="420" w:firstLineChars="200"/>
        <w:rPr>
          <w:rFonts w:ascii="宋体" w:hAnsi="宋体" w:cs="宋体"/>
          <w:szCs w:val="21"/>
          <w:highlight w:val="none"/>
        </w:rPr>
      </w:pPr>
      <w:r>
        <w:rPr>
          <w:rFonts w:hint="eastAsia" w:ascii="宋体" w:hAnsi="宋体" w:cs="宋体"/>
          <w:szCs w:val="21"/>
        </w:rPr>
        <w:t>D包：此次采购存储设备为集中式SAN存储，以</w:t>
      </w:r>
      <w:r>
        <w:rPr>
          <w:rFonts w:hint="eastAsia" w:ascii="宋体" w:hAnsi="宋体" w:cs="宋体"/>
          <w:szCs w:val="21"/>
          <w:highlight w:val="none"/>
        </w:rPr>
        <w:t>关系型数据库应用场景为主。选取CPU芯片为C86或者ARM芯片类型存储产品，按照高、中、低三个配置信息填写下表，其中需要在SAN功能特性描述SAN存储高级功能，可靠性要求描述可在线更换的硬件部件，可补充说明其他可靠性特性。</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集中式存储配置（由供应商提供）：</w:t>
      </w:r>
    </w:p>
    <w:tbl>
      <w:tblPr>
        <w:tblStyle w:val="13"/>
        <w:tblW w:w="0" w:type="auto"/>
        <w:tblInd w:w="708" w:type="dxa"/>
        <w:tblLayout w:type="autofit"/>
        <w:tblCellMar>
          <w:top w:w="0" w:type="dxa"/>
          <w:left w:w="108" w:type="dxa"/>
          <w:bottom w:w="0" w:type="dxa"/>
          <w:right w:w="108" w:type="dxa"/>
        </w:tblCellMar>
      </w:tblPr>
      <w:tblGrid>
        <w:gridCol w:w="2973"/>
        <w:gridCol w:w="2369"/>
        <w:gridCol w:w="2138"/>
        <w:gridCol w:w="1780"/>
      </w:tblGrid>
      <w:tr>
        <w:tblPrEx>
          <w:tblCellMar>
            <w:top w:w="0" w:type="dxa"/>
            <w:left w:w="108" w:type="dxa"/>
            <w:bottom w:w="0" w:type="dxa"/>
            <w:right w:w="108" w:type="dxa"/>
          </w:tblCellMar>
        </w:tblPrEx>
        <w:trPr>
          <w:trHeight w:val="384" w:hRule="atLeast"/>
        </w:trPr>
        <w:tc>
          <w:tcPr>
            <w:tcW w:w="297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指标类型</w:t>
            </w:r>
          </w:p>
        </w:tc>
        <w:tc>
          <w:tcPr>
            <w:tcW w:w="2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高配</w:t>
            </w:r>
          </w:p>
        </w:tc>
        <w:tc>
          <w:tcPr>
            <w:tcW w:w="213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中配</w:t>
            </w:r>
          </w:p>
        </w:tc>
        <w:tc>
          <w:tcPr>
            <w:tcW w:w="17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低配</w:t>
            </w:r>
          </w:p>
        </w:tc>
      </w:tr>
      <w:tr>
        <w:tblPrEx>
          <w:tblCellMar>
            <w:top w:w="0" w:type="dxa"/>
            <w:left w:w="108" w:type="dxa"/>
            <w:bottom w:w="0" w:type="dxa"/>
            <w:right w:w="108" w:type="dxa"/>
          </w:tblCellMar>
        </w:tblPrEx>
        <w:trPr>
          <w:trHeight w:val="285" w:hRule="atLeast"/>
        </w:trPr>
        <w:tc>
          <w:tcPr>
            <w:tcW w:w="926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b/>
                <w:bCs/>
                <w:color w:val="000000"/>
                <w:kern w:val="0"/>
                <w:szCs w:val="21"/>
                <w:highlight w:val="none"/>
              </w:rPr>
              <w:t>、基本配置：</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（1）控制器数量</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（2）单控制器CPU数量</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（3）CPU芯片型号</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（4）单CPU核心数</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highlight w:val="none"/>
              </w:rPr>
            </w:pPr>
            <w:r>
              <w:rPr>
                <w:rFonts w:hint="eastAsia" w:ascii="宋体" w:hAnsi="宋体" w:cs="宋体"/>
                <w:color w:val="000000"/>
                <w:sz w:val="20"/>
                <w:szCs w:val="20"/>
                <w:highlight w:val="none"/>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（5）单个控制器缓存容量</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（6）前端主机端口</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（7）存储间数据复制端口</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（8）硬盘类型</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926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b/>
                <w:bCs/>
                <w:color w:val="000000"/>
                <w:kern w:val="0"/>
                <w:szCs w:val="21"/>
              </w:rPr>
              <w:t>、扩展性：</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（1）支持最大缓存</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（2）支持最大控制器数</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（3）支持前端通道端口类型</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（4）支持最大前端主机接口</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（5）支持硬盘类型</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（6）支持协议</w:t>
            </w:r>
          </w:p>
        </w:tc>
        <w:tc>
          <w:tcPr>
            <w:tcW w:w="236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926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b/>
                <w:bCs/>
                <w:color w:val="000000"/>
                <w:kern w:val="0"/>
                <w:szCs w:val="21"/>
              </w:rPr>
              <w:t>、SAN性能要求：</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000000"/>
                <w:kern w:val="0"/>
                <w:szCs w:val="21"/>
              </w:rPr>
            </w:pPr>
            <w:r>
              <w:rPr>
                <w:rFonts w:hint="eastAsia" w:ascii="宋体" w:hAnsi="宋体" w:cs="宋体"/>
                <w:color w:val="000000"/>
                <w:kern w:val="0"/>
                <w:szCs w:val="21"/>
              </w:rPr>
              <w:t>（1）整体存储性能：8KB随机混合（模拟OLTP）读写性能</w:t>
            </w:r>
          </w:p>
        </w:tc>
        <w:tc>
          <w:tcPr>
            <w:tcW w:w="23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IOPS：</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带宽：</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延迟：</w:t>
            </w: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IOPS：</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带宽：</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延迟：</w:t>
            </w: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IOPS：</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带宽：</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延迟：</w:t>
            </w: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000000"/>
                <w:kern w:val="0"/>
                <w:szCs w:val="21"/>
              </w:rPr>
            </w:pPr>
            <w:r>
              <w:rPr>
                <w:rFonts w:hint="eastAsia" w:ascii="宋体" w:hAnsi="宋体" w:cs="宋体"/>
                <w:color w:val="000000"/>
                <w:kern w:val="0"/>
                <w:szCs w:val="21"/>
              </w:rPr>
              <w:t>（2）单LUN性能（2TB LUN）： 8KB随机混合（模拟OLTP）读写性能</w:t>
            </w:r>
          </w:p>
        </w:tc>
        <w:tc>
          <w:tcPr>
            <w:tcW w:w="23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IOPS：</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带宽：</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延迟：</w:t>
            </w: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IOPS：</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带宽：</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延迟：</w:t>
            </w: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IOPS：</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带宽：</w:t>
            </w:r>
            <w:r>
              <w:rPr>
                <w:rFonts w:hint="eastAsia" w:ascii="宋体" w:hAnsi="宋体" w:cs="宋体"/>
                <w:color w:val="000000"/>
                <w:sz w:val="20"/>
                <w:szCs w:val="20"/>
              </w:rPr>
              <w:t>（必选）</w:t>
            </w:r>
            <w:r>
              <w:rPr>
                <w:rFonts w:hint="eastAsia" w:ascii="宋体" w:hAnsi="宋体" w:cs="宋体"/>
                <w:color w:val="000000"/>
                <w:kern w:val="0"/>
                <w:szCs w:val="21"/>
              </w:rPr>
              <w:br w:type="textWrapping"/>
            </w:r>
            <w:r>
              <w:rPr>
                <w:rFonts w:hint="eastAsia" w:ascii="宋体" w:hAnsi="宋体" w:cs="宋体"/>
                <w:color w:val="000000"/>
                <w:kern w:val="0"/>
                <w:szCs w:val="21"/>
              </w:rPr>
              <w:t>延迟：</w:t>
            </w: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b/>
                <w:bCs/>
                <w:color w:val="000000"/>
                <w:kern w:val="0"/>
                <w:szCs w:val="21"/>
              </w:rPr>
              <w:t>、SAN功能特性</w:t>
            </w:r>
          </w:p>
        </w:tc>
        <w:tc>
          <w:tcPr>
            <w:tcW w:w="23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285" w:hRule="atLeast"/>
        </w:trPr>
        <w:tc>
          <w:tcPr>
            <w:tcW w:w="297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b/>
                <w:color w:val="000000"/>
                <w:kern w:val="0"/>
                <w:szCs w:val="21"/>
              </w:rPr>
              <w:t>兼容性</w:t>
            </w:r>
          </w:p>
        </w:tc>
        <w:tc>
          <w:tcPr>
            <w:tcW w:w="23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r>
      <w:tr>
        <w:tblPrEx>
          <w:tblCellMar>
            <w:top w:w="0" w:type="dxa"/>
            <w:left w:w="108" w:type="dxa"/>
            <w:bottom w:w="0" w:type="dxa"/>
            <w:right w:w="108" w:type="dxa"/>
          </w:tblCellMar>
        </w:tblPrEx>
        <w:trPr>
          <w:trHeight w:val="120" w:hRule="atLeast"/>
        </w:trPr>
        <w:tc>
          <w:tcPr>
            <w:tcW w:w="297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b/>
                <w:color w:val="000000"/>
                <w:kern w:val="0"/>
                <w:szCs w:val="21"/>
              </w:rPr>
              <w:t>可靠性</w:t>
            </w:r>
          </w:p>
        </w:tc>
        <w:tc>
          <w:tcPr>
            <w:tcW w:w="23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c>
          <w:tcPr>
            <w:tcW w:w="213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c>
          <w:tcPr>
            <w:tcW w:w="17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sz w:val="20"/>
                <w:szCs w:val="20"/>
              </w:rPr>
              <w:t>（必选）</w:t>
            </w:r>
          </w:p>
        </w:tc>
      </w:tr>
    </w:tbl>
    <w:p>
      <w:pPr>
        <w:pStyle w:val="3"/>
      </w:pPr>
    </w:p>
    <w:p>
      <w:pPr>
        <w:numPr>
          <w:ilvl w:val="0"/>
          <w:numId w:val="1"/>
        </w:numPr>
        <w:spacing w:line="360" w:lineRule="auto"/>
        <w:rPr>
          <w:rFonts w:ascii="宋体" w:hAnsi="宋体"/>
          <w:b/>
          <w:bCs/>
          <w:szCs w:val="21"/>
        </w:rPr>
      </w:pPr>
      <w:r>
        <w:rPr>
          <w:rFonts w:hint="eastAsia" w:ascii="宋体" w:hAnsi="宋体"/>
          <w:b/>
          <w:bCs/>
          <w:szCs w:val="21"/>
        </w:rPr>
        <w:t>其他说明</w:t>
      </w:r>
    </w:p>
    <w:p>
      <w:pPr>
        <w:numPr>
          <w:ilvl w:val="0"/>
          <w:numId w:val="2"/>
        </w:numPr>
        <w:spacing w:line="360" w:lineRule="auto"/>
        <w:ind w:firstLine="420" w:firstLineChars="200"/>
        <w:rPr>
          <w:rFonts w:cs="仿宋_GB2312" w:asciiTheme="minorEastAsia" w:hAnsiTheme="minorEastAsia" w:eastAsiaTheme="minorEastAsia"/>
          <w:color w:val="000000"/>
          <w:szCs w:val="21"/>
        </w:rPr>
      </w:pPr>
      <w:r>
        <w:rPr>
          <w:rFonts w:hint="eastAsia" w:ascii="宋体" w:hAnsi="宋体" w:cs="宋体"/>
          <w:szCs w:val="21"/>
        </w:rPr>
        <w:t>对于所有可选配件和可选服务，在不影响设备正常运行和使用的前提下，采购人均能够以各项可选配件和可选服务的单价为基础进行按需增减配</w:t>
      </w:r>
      <w:r>
        <w:rPr>
          <w:rFonts w:hint="eastAsia" w:cs="仿宋_GB2312" w:asciiTheme="minorEastAsia" w:hAnsiTheme="minorEastAsia" w:eastAsiaTheme="minorEastAsia"/>
          <w:color w:val="000000"/>
          <w:szCs w:val="21"/>
        </w:rPr>
        <w:t>。</w:t>
      </w:r>
    </w:p>
    <w:p>
      <w:pPr>
        <w:numPr>
          <w:ilvl w:val="0"/>
          <w:numId w:val="2"/>
        </w:numPr>
        <w:spacing w:line="360" w:lineRule="auto"/>
        <w:ind w:firstLine="420" w:firstLineChars="200"/>
        <w:rPr>
          <w:rFonts w:cs="仿宋_GB2312" w:asciiTheme="minorEastAsia" w:hAnsiTheme="minorEastAsia" w:eastAsiaTheme="minorEastAsia"/>
          <w:color w:val="000000"/>
          <w:szCs w:val="21"/>
        </w:rPr>
      </w:pPr>
      <w:r>
        <w:rPr>
          <w:rFonts w:hint="eastAsia" w:ascii="宋体" w:hAnsi="宋体" w:cs="宋体"/>
          <w:szCs w:val="21"/>
        </w:rPr>
        <w:t>因任何原因出现整机/部件无法供货，供应商应向采购人出具整机/部件的确认函件，并按照合同价格向采购人提供技术参数均不低于原技术需求的更高档次或型号的设备/部件</w:t>
      </w:r>
      <w:r>
        <w:rPr>
          <w:rFonts w:hint="eastAsia" w:cs="仿宋_GB2312" w:asciiTheme="minorEastAsia" w:hAnsiTheme="minorEastAsia" w:eastAsiaTheme="minorEastAsia"/>
          <w:color w:val="000000"/>
          <w:szCs w:val="21"/>
        </w:rPr>
        <w:t>。</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供应商所提供的服务器产品应为厂商自主研发,具有先进的体系架构及较好的前瞻性，并有后续研发系列及良好的发展前景，以保证产品的连续性。供应商应对产品技术的未来发展方向进行说明。</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具有高可用性。设备整体设计应充分考虑可用性要求，关键部件（如内存、电源、硬盘、散热设备、PCI通道、RAID网卡、HBA等）的标准配置应采用适当的冗余保护机制，在关键部件发生故障时，系统仍能保持正常运行，满足高可靠性、高安全性、可扩展性、可管理性的应用要求，以保障业务的稳定性和连续性。</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有高可管理性。设备应具有良好的管理接口，易于管理，方便接入。供应商须详细描述其随机配置的服务器系统管理工具软件（包括故障诊断、远程管理、软件管理、系统迁移、硬件资产管理等），并提供大规模系统管理方案的建议。应支持远程控制管理，包括但不限于：远程服务器健康情况检测、远程开关机、远程服务器重启等功能，并且支持远程服务器操作系统控制和远程光驱、软驱设备虚拟等功能。应具备集成管理模块，且相应芯片许可证应支持远程监控管理功能，并提供处理器、内存、硬盘故障前预警功能。</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有高可维护性。设备应具备较成熟的故障处理技术，应提供业界通用的硬件故障报警标准管理接口，具备自动故障检测、快速故障恢复能力、可靠的数据保护方案，在出现故障时自动执行系统或部件切换方案。设备应具备在线维护能力，支持如硬盘、电源、风扇等主要部件的在线维护、更换。</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供应商所提供的服务器产品应具备灵活的扩展性。供应商应提出具体的可扩展方案，方案内容包括整机扩展、内部部件扩展、虚拟技术扩展等。</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具备良好的兼容性与适配性。供应商应说明其服务器产品对主流硬件（主流品牌磁盘阵列、光纤交换机及磁带库等）、主流操作系统和虚拟化平台、数据库、中间件、云平台等的各版本兼容适配及支持情况。</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供应商所提供的服务器产品应具较高的安全性，供应商应从硬件、系统软件、功能软件三方面进行描述。</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供应商应提供其所报服务器产品的物理参数，包括但不限于高度、宽度、深度、重量（满配时）、额定功率（满配时）等，并说明其服务器产品对安装环境条件的要求（如电源、温度、湿度、机架、密度等）。</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供应商推荐的服务器应体现低能耗、低散热等环保理念，采用高密度结构以节省空间，中低端服务器应具有快速部署的特点，高端服务器要适应虚拟化等应用要求。</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对于CPU、内存、硬盘（含SSD）、RAID卡、网卡、HBA卡等可选配件和可选服务，在不影响设备正常运行和使用的前提下，均能够以单项价格为基础进行按需增减，并可以在不同配置中调配。</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各配置的CPU可以定制，例如：数据库资源池服务器Intel至强Gold处理器6342，可以更换为Intel至强Gold处理器6348。但是受技术限制，同一台物理服务器仅可以配置同型号的CPU，例如不可以将6342和6348混插在同一台服务器上。</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可以单独采购内存、硬盘（含SSD）、网卡、HBA卡中的任意一种或几种，不需要与整机合并采购。</w:t>
      </w:r>
    </w:p>
    <w:p>
      <w:pPr>
        <w:spacing w:line="360" w:lineRule="auto"/>
        <w:rPr>
          <w:rFonts w:ascii="宋体" w:hAnsi="宋体" w:cs="宋体"/>
          <w:b/>
          <w:bCs/>
          <w:szCs w:val="21"/>
        </w:rPr>
      </w:pPr>
      <w:r>
        <w:rPr>
          <w:rFonts w:hint="eastAsia" w:ascii="宋体" w:hAnsi="宋体"/>
          <w:b/>
          <w:bCs/>
          <w:szCs w:val="21"/>
        </w:rPr>
        <w:t>五、</w:t>
      </w:r>
      <w:r>
        <w:rPr>
          <w:rFonts w:hint="eastAsia" w:ascii="宋体" w:hAnsi="宋体" w:cs="宋体"/>
          <w:b/>
          <w:bCs/>
          <w:szCs w:val="21"/>
        </w:rPr>
        <w:t>项目总体服务要求</w:t>
      </w:r>
    </w:p>
    <w:p>
      <w:pPr>
        <w:spacing w:line="360" w:lineRule="auto"/>
        <w:ind w:firstLine="422" w:firstLineChars="200"/>
        <w:rPr>
          <w:rFonts w:cs="楷体_GB2312" w:asciiTheme="minorEastAsia" w:hAnsiTheme="minorEastAsia" w:eastAsiaTheme="minorEastAsia"/>
          <w:b/>
          <w:bCs/>
          <w:color w:val="000000"/>
          <w:kern w:val="28"/>
          <w:szCs w:val="21"/>
        </w:rPr>
      </w:pPr>
      <w:r>
        <w:rPr>
          <w:rFonts w:hint="eastAsia" w:cs="楷体_GB2312" w:asciiTheme="minorEastAsia" w:hAnsiTheme="minorEastAsia" w:eastAsiaTheme="minorEastAsia"/>
          <w:b/>
          <w:bCs/>
          <w:color w:val="000000"/>
          <w:kern w:val="28"/>
          <w:szCs w:val="21"/>
        </w:rPr>
        <w:t>（一）维保服务期</w:t>
      </w:r>
    </w:p>
    <w:p>
      <w:p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本次采购的项目的硬件</w:t>
      </w:r>
      <w:r>
        <w:rPr>
          <w:rStyle w:val="17"/>
          <w:rFonts w:hint="eastAsia"/>
        </w:rPr>
        <w:t>带</w:t>
      </w:r>
      <w:r>
        <w:rPr>
          <w:rFonts w:hint="eastAsia" w:cs="仿宋_GB2312" w:asciiTheme="minorEastAsia" w:hAnsiTheme="minorEastAsia" w:eastAsiaTheme="minorEastAsia"/>
          <w:bCs/>
          <w:szCs w:val="21"/>
        </w:rPr>
        <w:t>五年（含第五年所在年份的整年，即维保至第五年所在年份的12月31日）的原厂（整机及配件）保修和服务，以原厂服务承诺函为准</w:t>
      </w:r>
      <w:r>
        <w:rPr>
          <w:rFonts w:hint="eastAsia" w:cs="仿宋_GB2312" w:asciiTheme="minorEastAsia" w:hAnsiTheme="minorEastAsia" w:eastAsiaTheme="minorEastAsia"/>
          <w:color w:val="000000"/>
          <w:szCs w:val="21"/>
        </w:rPr>
        <w:t>。</w:t>
      </w:r>
    </w:p>
    <w:p>
      <w:pPr>
        <w:spacing w:line="360" w:lineRule="auto"/>
        <w:ind w:firstLine="422" w:firstLineChars="200"/>
        <w:rPr>
          <w:rFonts w:cs="楷体_GB2312" w:asciiTheme="minorEastAsia" w:hAnsiTheme="minorEastAsia" w:eastAsiaTheme="minorEastAsia"/>
          <w:b/>
          <w:bCs/>
          <w:color w:val="000000"/>
          <w:kern w:val="28"/>
          <w:szCs w:val="21"/>
        </w:rPr>
      </w:pPr>
      <w:r>
        <w:rPr>
          <w:rFonts w:hint="eastAsia" w:cs="楷体_GB2312" w:asciiTheme="minorEastAsia" w:hAnsiTheme="minorEastAsia" w:eastAsiaTheme="minorEastAsia"/>
          <w:b/>
          <w:bCs/>
          <w:color w:val="000000"/>
          <w:kern w:val="28"/>
          <w:szCs w:val="21"/>
        </w:rPr>
        <w:t>（二）服务说明</w:t>
      </w:r>
    </w:p>
    <w:p>
      <w:p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所有服务内容必须由原厂提供，供应商配合协调相关资源。包括提供原厂技术工程师、原厂支援等。</w:t>
      </w:r>
    </w:p>
    <w:p>
      <w:pPr>
        <w:spacing w:line="360" w:lineRule="auto"/>
        <w:ind w:firstLine="422" w:firstLineChars="200"/>
        <w:rPr>
          <w:rFonts w:cs="楷体_GB2312" w:asciiTheme="minorEastAsia" w:hAnsiTheme="minorEastAsia" w:eastAsiaTheme="minorEastAsia"/>
          <w:b/>
          <w:bCs/>
          <w:color w:val="000000"/>
          <w:kern w:val="28"/>
          <w:szCs w:val="21"/>
        </w:rPr>
      </w:pPr>
      <w:r>
        <w:rPr>
          <w:rFonts w:hint="eastAsia" w:cs="楷体_GB2312" w:asciiTheme="minorEastAsia" w:hAnsiTheme="minorEastAsia" w:eastAsiaTheme="minorEastAsia"/>
          <w:b/>
          <w:bCs/>
          <w:color w:val="000000"/>
          <w:kern w:val="28"/>
          <w:szCs w:val="21"/>
        </w:rPr>
        <w:t>（三）服务内容</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安装与实施服务。软件到货后进行安装、规划、调试、测试、优化、升级等工作，满足采购人对设备上线运行的要求。</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常规维保服务。包括保障软件正常运行、保障采购人业务稳定的一切服务。</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巡检服务。提供每年4次现场巡检服务，具体巡检时间由采购人确定。巡检须派经验丰富的原厂工程师进行预防性检查维护，对配置进行检查，分析系统告警信息并提出整改方案，按采购人要求出具巡检报告、整改方案等文档并负责整改实施。</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升级服务。针对产品缺陷或根据采购人要求为软件免费升级和补丁更新，保证用户能够及时获得相关服务和技术文档的更新。技术文档包括操作手册、产品说明、系统架构、应急处理、规章制度等。如产品出现重大缺陷时，须主动告知采购人升级或应对措施。</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咨询服务。采购人可随时向供应商或原厂进行技术咨询。</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应急服务。提供每周7×24小时专人应急服务电话。</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现场服务。按需提供技术人员现场支援的服务。工程师要保持相对的稳定性。在采购人场所工作时，技术人员应遵守采购人相应的规章制度。</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系统迁移服务。服务期内，如采购人有系统迁移需求，供应商有义务根据采购人要求提供优选迁移建议服务，如有必要供应商到达采购人项目现场提供协助。</w:t>
      </w:r>
    </w:p>
    <w:p>
      <w:pPr>
        <w:numPr>
          <w:ilvl w:val="0"/>
          <w:numId w:val="3"/>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重点时期现场保障服务。重要节假日（五一、国庆、中秋、春节等）和重要时期（网络攻防演练、上级现场监管检查等）提供专业技术人员现场保障和协助的服务，协助采购人防守、加固、溯源和分析等工作。</w:t>
      </w:r>
    </w:p>
    <w:p>
      <w:pPr>
        <w:spacing w:line="360" w:lineRule="auto"/>
        <w:rPr>
          <w:rFonts w:ascii="宋体" w:hAnsi="宋体"/>
          <w:b/>
          <w:bCs/>
          <w:szCs w:val="21"/>
        </w:rPr>
      </w:pPr>
      <w:r>
        <w:rPr>
          <w:rFonts w:hint="eastAsia" w:ascii="宋体" w:hAnsi="宋体"/>
          <w:b/>
          <w:bCs/>
          <w:szCs w:val="21"/>
        </w:rPr>
        <w:t>五、供应商（产品制造商）要求</w:t>
      </w:r>
    </w:p>
    <w:p>
      <w:pPr>
        <w:tabs>
          <w:tab w:val="left" w:pos="0"/>
        </w:tabs>
        <w:spacing w:line="360" w:lineRule="auto"/>
        <w:rPr>
          <w:rFonts w:cs="仿宋_GB2312" w:asciiTheme="minorEastAsia" w:hAnsiTheme="minorEastAsia"/>
          <w:color w:val="000000"/>
          <w:szCs w:val="21"/>
        </w:rPr>
      </w:pPr>
      <w:r>
        <w:rPr>
          <w:rFonts w:hint="eastAsia" w:cs="仿宋_GB2312" w:asciiTheme="minorEastAsia" w:hAnsiTheme="minorEastAsia" w:eastAsiaTheme="minorEastAsia"/>
          <w:color w:val="000000"/>
          <w:szCs w:val="21"/>
        </w:rPr>
        <w:t>（一）本项目需求供应商指产品制造商。</w:t>
      </w:r>
    </w:p>
    <w:p>
      <w:pPr>
        <w:tabs>
          <w:tab w:val="left" w:pos="0"/>
        </w:tabs>
        <w:spacing w:line="360" w:lineRule="auto"/>
        <w:rPr>
          <w:rFonts w:cs="仿宋_GB2312" w:asciiTheme="minorEastAsia" w:hAnsiTheme="minorEastAsia" w:eastAsiaTheme="minorEastAsia"/>
          <w:color w:val="FF0000"/>
          <w:szCs w:val="21"/>
        </w:rPr>
      </w:pPr>
      <w:r>
        <w:rPr>
          <w:rFonts w:hint="eastAsia" w:cs="仿宋_GB2312" w:asciiTheme="minorEastAsia" w:hAnsiTheme="minorEastAsia" w:eastAsiaTheme="minorEastAsia"/>
          <w:color w:val="000000"/>
          <w:szCs w:val="21"/>
        </w:rPr>
        <w:t>（二）产品制造商具备独立法人资格。</w:t>
      </w:r>
    </w:p>
    <w:p>
      <w:pPr>
        <w:tabs>
          <w:tab w:val="left" w:pos="0"/>
        </w:tabs>
        <w:spacing w:line="360" w:lineRule="auto"/>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（三）产品制造商的产品从2020年1月1日起至今在全国性银行总行或省级分支机构、省级（或直辖市）农村信用社（或省级（或直辖市）农商银行）、城商行、农商行供货或入围案例，合同金额大于50万元以上。</w:t>
      </w:r>
    </w:p>
    <w:p>
      <w:pPr>
        <w:pStyle w:val="2"/>
      </w:pPr>
      <w:r>
        <w:rPr>
          <w:rFonts w:hint="eastAsia" w:cs="仿宋_GB2312" w:asciiTheme="minorEastAsia" w:hAnsiTheme="minorEastAsia" w:eastAsiaTheme="minorEastAsia"/>
          <w:color w:val="000000"/>
          <w:szCs w:val="21"/>
        </w:rPr>
        <w:t>（四）产品制造商可选择A包、B包、C包、D包一个包或多个包分别提供市场调研资料。</w:t>
      </w:r>
    </w:p>
    <w:p>
      <w:pPr>
        <w:tabs>
          <w:tab w:val="left" w:pos="0"/>
        </w:tabs>
        <w:spacing w:line="360" w:lineRule="auto"/>
        <w:rPr>
          <w:rFonts w:cs="仿宋_GB2312" w:asciiTheme="minorEastAsia" w:hAnsiTheme="minorEastAsia" w:eastAsiaTheme="minorEastAsia"/>
          <w:color w:val="000000"/>
          <w:szCs w:val="21"/>
        </w:rPr>
      </w:pPr>
    </w:p>
    <w:p>
      <w:pPr>
        <w:spacing w:line="360" w:lineRule="auto"/>
        <w:rPr>
          <w:rFonts w:ascii="宋体" w:hAnsi="宋体"/>
          <w:szCs w:val="21"/>
        </w:rPr>
      </w:pPr>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2032F"/>
    <w:multiLevelType w:val="singleLevel"/>
    <w:tmpl w:val="8372032F"/>
    <w:lvl w:ilvl="0" w:tentative="0">
      <w:start w:val="1"/>
      <w:numFmt w:val="decimal"/>
      <w:suff w:val="nothing"/>
      <w:lvlText w:val="%1、"/>
      <w:lvlJc w:val="left"/>
    </w:lvl>
  </w:abstractNum>
  <w:abstractNum w:abstractNumId="1">
    <w:nsid w:val="F3DEBA44"/>
    <w:multiLevelType w:val="singleLevel"/>
    <w:tmpl w:val="F3DEBA44"/>
    <w:lvl w:ilvl="0" w:tentative="0">
      <w:start w:val="1"/>
      <w:numFmt w:val="decimal"/>
      <w:lvlText w:val="%1."/>
      <w:lvlJc w:val="left"/>
      <w:pPr>
        <w:tabs>
          <w:tab w:val="left" w:pos="0"/>
        </w:tabs>
        <w:ind w:left="0" w:firstLine="0"/>
      </w:pPr>
    </w:lvl>
  </w:abstractNum>
  <w:abstractNum w:abstractNumId="2">
    <w:nsid w:val="0DF69C6C"/>
    <w:multiLevelType w:val="singleLevel"/>
    <w:tmpl w:val="0DF69C6C"/>
    <w:lvl w:ilvl="0" w:tentative="0">
      <w:start w:val="4"/>
      <w:numFmt w:val="chineseCounting"/>
      <w:suff w:val="nothing"/>
      <w:lvlText w:val="%1、"/>
      <w:lvlJc w:val="left"/>
      <w:rPr>
        <w:rFonts w:hint="eastAsia"/>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FiZjYxM2FmMjVmOTMxYTlmZDdkZThjNTllNGUwOWIifQ=="/>
  </w:docVars>
  <w:rsids>
    <w:rsidRoot w:val="009F2FB4"/>
    <w:rsid w:val="0002211E"/>
    <w:rsid w:val="00041D24"/>
    <w:rsid w:val="00060A42"/>
    <w:rsid w:val="000D3882"/>
    <w:rsid w:val="000E6541"/>
    <w:rsid w:val="000F0DFD"/>
    <w:rsid w:val="000F4946"/>
    <w:rsid w:val="00115306"/>
    <w:rsid w:val="00115BC4"/>
    <w:rsid w:val="001C2DAC"/>
    <w:rsid w:val="001D4644"/>
    <w:rsid w:val="001E7CB5"/>
    <w:rsid w:val="0026628E"/>
    <w:rsid w:val="002B0068"/>
    <w:rsid w:val="002B7344"/>
    <w:rsid w:val="002C13F5"/>
    <w:rsid w:val="002E69AE"/>
    <w:rsid w:val="003000DE"/>
    <w:rsid w:val="003161EC"/>
    <w:rsid w:val="003425BD"/>
    <w:rsid w:val="00372F3B"/>
    <w:rsid w:val="003900F9"/>
    <w:rsid w:val="004B3E2C"/>
    <w:rsid w:val="0052378B"/>
    <w:rsid w:val="00547AA6"/>
    <w:rsid w:val="0058010C"/>
    <w:rsid w:val="005E0F22"/>
    <w:rsid w:val="00657D6E"/>
    <w:rsid w:val="0067085A"/>
    <w:rsid w:val="0067708D"/>
    <w:rsid w:val="00683ADB"/>
    <w:rsid w:val="00684671"/>
    <w:rsid w:val="00697DF5"/>
    <w:rsid w:val="006B282D"/>
    <w:rsid w:val="006E028B"/>
    <w:rsid w:val="00730CFC"/>
    <w:rsid w:val="00755FE0"/>
    <w:rsid w:val="007C1E65"/>
    <w:rsid w:val="007C4B35"/>
    <w:rsid w:val="007D1572"/>
    <w:rsid w:val="0080423D"/>
    <w:rsid w:val="00812356"/>
    <w:rsid w:val="00833E0B"/>
    <w:rsid w:val="00834783"/>
    <w:rsid w:val="00850D62"/>
    <w:rsid w:val="00876154"/>
    <w:rsid w:val="008E739F"/>
    <w:rsid w:val="008F5664"/>
    <w:rsid w:val="00906BCA"/>
    <w:rsid w:val="00932867"/>
    <w:rsid w:val="00932D28"/>
    <w:rsid w:val="00955B58"/>
    <w:rsid w:val="0096229B"/>
    <w:rsid w:val="00967333"/>
    <w:rsid w:val="00997589"/>
    <w:rsid w:val="009C139A"/>
    <w:rsid w:val="009C6873"/>
    <w:rsid w:val="009F2FB4"/>
    <w:rsid w:val="009F5DB2"/>
    <w:rsid w:val="00AF0288"/>
    <w:rsid w:val="00AF5E80"/>
    <w:rsid w:val="00AF7968"/>
    <w:rsid w:val="00B71931"/>
    <w:rsid w:val="00BB0D09"/>
    <w:rsid w:val="00BB432E"/>
    <w:rsid w:val="00BD79AF"/>
    <w:rsid w:val="00C046DA"/>
    <w:rsid w:val="00C15B9E"/>
    <w:rsid w:val="00C479E2"/>
    <w:rsid w:val="00C707AE"/>
    <w:rsid w:val="00CD38B9"/>
    <w:rsid w:val="00CD62A6"/>
    <w:rsid w:val="00CE7C21"/>
    <w:rsid w:val="00D809E5"/>
    <w:rsid w:val="00DA0CD7"/>
    <w:rsid w:val="00DD11BD"/>
    <w:rsid w:val="00E21A27"/>
    <w:rsid w:val="00E751AB"/>
    <w:rsid w:val="00FC204D"/>
    <w:rsid w:val="00FC3DC7"/>
    <w:rsid w:val="00FE62F0"/>
    <w:rsid w:val="00FE706B"/>
    <w:rsid w:val="021B1648"/>
    <w:rsid w:val="065A661B"/>
    <w:rsid w:val="09BB78D2"/>
    <w:rsid w:val="0C43782D"/>
    <w:rsid w:val="0C6C3520"/>
    <w:rsid w:val="0DA46FDA"/>
    <w:rsid w:val="0F075DB7"/>
    <w:rsid w:val="152378BB"/>
    <w:rsid w:val="170B3BD9"/>
    <w:rsid w:val="1BD85D3B"/>
    <w:rsid w:val="1F2A045F"/>
    <w:rsid w:val="24B11032"/>
    <w:rsid w:val="26270D81"/>
    <w:rsid w:val="27842A64"/>
    <w:rsid w:val="283A00E5"/>
    <w:rsid w:val="32831D93"/>
    <w:rsid w:val="35592615"/>
    <w:rsid w:val="376C7AC4"/>
    <w:rsid w:val="3A917B8C"/>
    <w:rsid w:val="3D5A7824"/>
    <w:rsid w:val="3E8C0578"/>
    <w:rsid w:val="3FF04866"/>
    <w:rsid w:val="41A31322"/>
    <w:rsid w:val="452B449A"/>
    <w:rsid w:val="47242D51"/>
    <w:rsid w:val="47D15C92"/>
    <w:rsid w:val="496574B5"/>
    <w:rsid w:val="4A79723B"/>
    <w:rsid w:val="4C2D2789"/>
    <w:rsid w:val="4E526C2D"/>
    <w:rsid w:val="50D313A9"/>
    <w:rsid w:val="52097D65"/>
    <w:rsid w:val="562A003B"/>
    <w:rsid w:val="58234BBB"/>
    <w:rsid w:val="595953A4"/>
    <w:rsid w:val="5D1E4863"/>
    <w:rsid w:val="5F9E226B"/>
    <w:rsid w:val="5FE4701D"/>
    <w:rsid w:val="62A712E9"/>
    <w:rsid w:val="64E84309"/>
    <w:rsid w:val="663A786E"/>
    <w:rsid w:val="69270594"/>
    <w:rsid w:val="6B764C86"/>
    <w:rsid w:val="6D847C22"/>
    <w:rsid w:val="6EBA17FC"/>
    <w:rsid w:val="6EC766B7"/>
    <w:rsid w:val="6F895139"/>
    <w:rsid w:val="71CA4040"/>
    <w:rsid w:val="7611274E"/>
    <w:rsid w:val="78856D46"/>
    <w:rsid w:val="78BC37FE"/>
    <w:rsid w:val="7D550B01"/>
    <w:rsid w:val="7E260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0"/>
    <w:pPr>
      <w:spacing w:after="120"/>
    </w:p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Normal Indent"/>
    <w:basedOn w:val="1"/>
    <w:link w:val="28"/>
    <w:unhideWhenUsed/>
    <w:qFormat/>
    <w:uiPriority w:val="0"/>
    <w:pPr>
      <w:ind w:firstLine="420" w:firstLineChars="200"/>
    </w:pPr>
    <w:rPr>
      <w:rFonts w:ascii="Calibri" w:hAnsi="Calibri"/>
    </w:rPr>
  </w:style>
  <w:style w:type="paragraph" w:styleId="6">
    <w:name w:val="toa heading"/>
    <w:basedOn w:val="1"/>
    <w:next w:val="1"/>
    <w:unhideWhenUsed/>
    <w:qFormat/>
    <w:uiPriority w:val="99"/>
    <w:pPr>
      <w:spacing w:before="120"/>
    </w:pPr>
    <w:rPr>
      <w:rFonts w:asciiTheme="majorHAnsi" w:hAnsiTheme="majorHAnsi" w:cstheme="majorBidi"/>
      <w:sz w:val="24"/>
    </w:rPr>
  </w:style>
  <w:style w:type="paragraph" w:styleId="7">
    <w:name w:val="annotation text"/>
    <w:basedOn w:val="1"/>
    <w:link w:val="25"/>
    <w:semiHidden/>
    <w:unhideWhenUsed/>
    <w:qFormat/>
    <w:uiPriority w:val="99"/>
    <w:pPr>
      <w:jc w:val="left"/>
    </w:pPr>
  </w:style>
  <w:style w:type="paragraph" w:styleId="8">
    <w:name w:val="Balloon Text"/>
    <w:basedOn w:val="1"/>
    <w:link w:val="27"/>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7"/>
    <w:next w:val="7"/>
    <w:link w:val="26"/>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unhideWhenUsed/>
    <w:qFormat/>
    <w:uiPriority w:val="99"/>
    <w:rPr>
      <w:color w:val="0000FF"/>
      <w:u w:val="single"/>
    </w:rPr>
  </w:style>
  <w:style w:type="character" w:styleId="17">
    <w:name w:val="annotation reference"/>
    <w:unhideWhenUsed/>
    <w:qFormat/>
    <w:uiPriority w:val="99"/>
    <w:rPr>
      <w:rFonts w:cs="Times New Roman"/>
      <w:sz w:val="21"/>
      <w:szCs w:val="21"/>
    </w:rPr>
  </w:style>
  <w:style w:type="paragraph" w:customStyle="1" w:styleId="18">
    <w:name w:val="Table Paragraph"/>
    <w:basedOn w:val="1"/>
    <w:qFormat/>
    <w:uiPriority w:val="1"/>
    <w:pPr>
      <w:autoSpaceDE w:val="0"/>
      <w:autoSpaceDN w:val="0"/>
      <w:adjustRightInd w:val="0"/>
      <w:jc w:val="left"/>
    </w:pPr>
    <w:rPr>
      <w:rFonts w:ascii="宋体" w:cs="宋体"/>
      <w:kern w:val="0"/>
      <w:sz w:val="24"/>
    </w:rPr>
  </w:style>
  <w:style w:type="paragraph" w:customStyle="1" w:styleId="19">
    <w:name w:val="样式4"/>
    <w:basedOn w:val="1"/>
    <w:qFormat/>
    <w:uiPriority w:val="0"/>
    <w:pPr>
      <w:tabs>
        <w:tab w:val="left" w:pos="2328"/>
      </w:tabs>
      <w:ind w:left="2328" w:hanging="708"/>
    </w:pPr>
  </w:style>
  <w:style w:type="character" w:customStyle="1" w:styleId="20">
    <w:name w:val="页眉 Char"/>
    <w:link w:val="10"/>
    <w:qFormat/>
    <w:uiPriority w:val="99"/>
    <w:rPr>
      <w:rFonts w:ascii="Times New Roman" w:hAnsi="Times New Roman" w:eastAsia="宋体" w:cs="Times New Roman"/>
      <w:sz w:val="18"/>
      <w:szCs w:val="18"/>
    </w:rPr>
  </w:style>
  <w:style w:type="character" w:customStyle="1" w:styleId="21">
    <w:name w:val="页脚 Char"/>
    <w:link w:val="9"/>
    <w:qFormat/>
    <w:uiPriority w:val="99"/>
    <w:rPr>
      <w:rFonts w:ascii="Times New Roman" w:hAnsi="Times New Roman" w:eastAsia="宋体" w:cs="Times New Roman"/>
      <w:sz w:val="18"/>
      <w:szCs w:val="18"/>
    </w:rPr>
  </w:style>
  <w:style w:type="character" w:customStyle="1" w:styleId="22">
    <w:name w:val="font11"/>
    <w:qFormat/>
    <w:uiPriority w:val="0"/>
    <w:rPr>
      <w:rFonts w:hint="default" w:ascii="Times New Roman" w:hAnsi="Times New Roman" w:cs="Times New Roman"/>
      <w:color w:val="000000"/>
      <w:sz w:val="24"/>
      <w:szCs w:val="24"/>
      <w:u w:val="none"/>
    </w:rPr>
  </w:style>
  <w:style w:type="character" w:customStyle="1" w:styleId="23">
    <w:name w:val="font21"/>
    <w:qFormat/>
    <w:uiPriority w:val="0"/>
    <w:rPr>
      <w:rFonts w:ascii="Arial" w:hAnsi="Arial" w:cs="Arial"/>
      <w:color w:val="000000"/>
      <w:sz w:val="21"/>
      <w:szCs w:val="21"/>
      <w:u w:val="none"/>
    </w:rPr>
  </w:style>
  <w:style w:type="character" w:customStyle="1" w:styleId="24">
    <w:name w:val="正文文本 Char"/>
    <w:basedOn w:val="15"/>
    <w:link w:val="2"/>
    <w:qFormat/>
    <w:uiPriority w:val="0"/>
    <w:rPr>
      <w:rFonts w:ascii="Times New Roman" w:hAnsi="Times New Roman" w:eastAsia="宋体"/>
      <w:kern w:val="2"/>
      <w:sz w:val="21"/>
      <w:szCs w:val="24"/>
    </w:rPr>
  </w:style>
  <w:style w:type="character" w:customStyle="1" w:styleId="25">
    <w:name w:val="批注文字 Char"/>
    <w:basedOn w:val="15"/>
    <w:link w:val="7"/>
    <w:semiHidden/>
    <w:qFormat/>
    <w:uiPriority w:val="99"/>
    <w:rPr>
      <w:rFonts w:ascii="Times New Roman" w:hAnsi="Times New Roman" w:eastAsia="宋体"/>
      <w:kern w:val="2"/>
      <w:sz w:val="21"/>
      <w:szCs w:val="24"/>
    </w:rPr>
  </w:style>
  <w:style w:type="character" w:customStyle="1" w:styleId="26">
    <w:name w:val="批注主题 Char"/>
    <w:basedOn w:val="25"/>
    <w:link w:val="12"/>
    <w:semiHidden/>
    <w:qFormat/>
    <w:uiPriority w:val="99"/>
    <w:rPr>
      <w:rFonts w:ascii="Times New Roman" w:hAnsi="Times New Roman" w:eastAsia="宋体"/>
      <w:b/>
      <w:bCs/>
      <w:kern w:val="2"/>
      <w:sz w:val="21"/>
      <w:szCs w:val="24"/>
    </w:rPr>
  </w:style>
  <w:style w:type="character" w:customStyle="1" w:styleId="27">
    <w:name w:val="批注框文本 Char"/>
    <w:basedOn w:val="15"/>
    <w:link w:val="8"/>
    <w:semiHidden/>
    <w:qFormat/>
    <w:uiPriority w:val="99"/>
    <w:rPr>
      <w:rFonts w:ascii="Times New Roman" w:hAnsi="Times New Roman" w:eastAsia="宋体"/>
      <w:kern w:val="2"/>
      <w:sz w:val="18"/>
      <w:szCs w:val="18"/>
    </w:rPr>
  </w:style>
  <w:style w:type="character" w:customStyle="1" w:styleId="28">
    <w:name w:val="正文缩进 Char"/>
    <w:link w:val="5"/>
    <w:qFormat/>
    <w:uiPriority w:val="0"/>
    <w:rPr>
      <w:rFonts w:ascii="Calibri" w:hAnsi="Calibri" w:eastAsia="宋体"/>
      <w:kern w:val="2"/>
      <w:sz w:val="21"/>
      <w:szCs w:val="24"/>
    </w:rPr>
  </w:style>
  <w:style w:type="paragraph" w:customStyle="1" w:styleId="29">
    <w:name w:val="正文cl"/>
    <w:basedOn w:val="1"/>
    <w:qFormat/>
    <w:uiPriority w:val="0"/>
    <w:pPr>
      <w:snapToGrid w:val="0"/>
      <w:spacing w:line="360" w:lineRule="auto"/>
      <w:ind w:firstLine="600" w:firstLineChars="200"/>
    </w:pPr>
    <w:rPr>
      <w:rFonts w:ascii="Tahoma" w:hAnsi="Tahoma" w:eastAsia="仿宋_GB2312" w:cs="宋体"/>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4225</Words>
  <Characters>4524</Characters>
  <Lines>34</Lines>
  <Paragraphs>9</Paragraphs>
  <TotalTime>20</TotalTime>
  <ScaleCrop>false</ScaleCrop>
  <LinksUpToDate>false</LinksUpToDate>
  <CharactersWithSpaces>4537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2023-09-05T08:15:00Z</dcterms:created>
  <dc:creator>User</dc:creator>
  <cp:lastModifiedBy>12137</cp:lastModifiedBy>
  <cp:lastPrinted>2023-05-09T06:57:00Z</cp:lastPrinted>
  <dcterms:modified xsi:type="dcterms:W3CDTF">2023-09-06T07:39:41Z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0AFE010481DC44A08AD0F773538D481C</vt:lpwstr>
  </property>
</Properties>
</file>